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第529期</w:t>
      </w:r>
      <w:r>
        <w:t xml:space="preserve"> </w:t>
      </w:r>
      <w:r>
        <w:t xml:space="preserve">-</w:t>
      </w:r>
      <w:r>
        <w:t xml:space="preserve"> </w:t>
      </w:r>
      <w:r>
        <w:t xml:space="preserve">2017年01月26日</w:t>
      </w:r>
    </w:p>
    <w:p>
      <w:hyperlink r:id="rId21">
        <w:r>
          <w:rPr>
            <w:rStyle w:val="Link"/>
          </w:rPr>
          <w:t xml:space="preserve">网络版</w:t>
        </w:r>
      </w:hyperlink>
    </w:p>
    <w:p>
      <w:pPr>
        <w:pStyle w:val="Heading1"/>
      </w:pPr>
      <w:bookmarkStart w:id="22" w:name="中国证监会修订完善发行审核履职回避制度"/>
      <w:bookmarkEnd w:id="22"/>
      <w:r>
        <w:t xml:space="preserve">中国证监会：修订完善发行审核履职回避制度</w:t>
      </w:r>
    </w:p>
    <w:p>
      <w:pPr>
        <w:pStyle w:val="Heading2"/>
      </w:pPr>
      <w:bookmarkStart w:id="23" w:name="资本市场"/>
      <w:bookmarkEnd w:id="23"/>
      <w:r>
        <w:t xml:space="preserve">资本市场</w:t>
      </w:r>
    </w:p>
    <w:p>
      <w:pPr>
        <w:pStyle w:val="Heading3"/>
      </w:pPr>
      <w:bookmarkStart w:id="24" w:name="中国证监会修订完善发行审核履职回避制度-1"/>
      <w:bookmarkEnd w:id="24"/>
      <w:r>
        <w:t xml:space="preserve">中国证监会：修订完善发行审核履职回避制度</w:t>
      </w:r>
    </w:p>
    <w:p>
      <w:r>
        <w:t xml:space="preserve">近日，中国证监会修订完善了发行审核履职回避制度，正式发布《关于加强发行审核工作人员履职回避管理的规定（2017年修订）》和《关于加强发审委委员履职回避管理的规定（2017年修订）》，自公布之日起施行。</w:t>
      </w:r>
    </w:p>
    <w:p>
      <w:r>
        <w:t xml:space="preserve">修订后的两个规定从严并细化了涉及亲属的回避事项，做到制度上不留死角。一是回避范围更加严格，涉及配偶、父母、子女及其配偶等在监管对象或者相关中介机构任职的，无论其职务高低，均应回避。对于其他相关亲属在监管对象或者相关中介机构，担任中层以上职务的，无论其从事业务是否与发行业务直接相关，均应回避。对于再融资申请企业，增加亲属为持股5%以上的股东，审核工作人员应回避。二是增加本人主动回避条款，认为可能存在利益冲突情形的，可申请并经组织批准后回避。</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人民银行力推企业跨境融资"/>
      <w:bookmarkEnd w:id="27"/>
      <w:r>
        <w:t xml:space="preserve">中国人民银行：力推企业跨境融资</w:t>
      </w:r>
    </w:p>
    <w:p>
      <w:r>
        <w:t xml:space="preserve">近日，中国人民银行下发《关于全口径跨境融资宏观审慎管理有关事宜的通知》（以下简称《通知》），进一步放松跨境融资政策。</w:t>
      </w:r>
    </w:p>
    <w:p>
      <w:r>
        <w:t xml:space="preserve">《通知》对全口径跨境融资有数项新政。一是，进一步扩大了境内机构全口径跨境融资的额度，由原境内机构净资产1倍扩大到2倍，这将使得境内企业可以从境外融入更多资金。二是，内保外贷按照20%纳入银行跨境融资风险加权余额计算，此前该业务需全额占用。三是，企业和银行的本外币贸易融资、境外主体存放在金融机构的本外币存款、境内银行向境外同业拆借资金等六种业务类型不纳入跨境融资风险加权余额计算。此外，金融机构因境外同业存放、拆借、联行及附属机构往来产生的对外负债不纳入跨境融资风险加权余额计算。</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央财政发起设立中国互联网投资基金"/>
      <w:bookmarkEnd w:id="30"/>
      <w:r>
        <w:t xml:space="preserve">中央财政发起设立中国互联网投资基金</w:t>
      </w:r>
    </w:p>
    <w:p>
      <w:r>
        <w:t xml:space="preserve">2017年1月22日，中国互联网投资基金成立大会暨签约仪式在京举行。基金计划总规模1000亿元人民币，首期300亿元已募集到位。</w:t>
      </w:r>
    </w:p>
    <w:p>
      <w:r>
        <w:t xml:space="preserve">中国互联网投资基金将坚持国家战略导向、市场化运营、专业化管理，聚焦互联网重点领域，通过市场化方式支持互联网创新发展，为优秀互联网企业助力。中宣部副部长、国家互联网信息办公室主任徐麟，财政部党组成员、副部长余蔚平出席成立仪式并致辞。 余蔚平副部长在致辞中指出，财政部按照中央网络安全和信息化领导小组的明确要求，积极推动网络强国建设，主动参与“互联网+”行动。余蔚平副部长对基金发展提出了三点希望：一是充分发挥财政资金引领示范作用，二是培育发展互联网行业新动力，三是以专业化市场运作开展投资经营。</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巴基斯坦证券交易所股权收购协议签署仪式举行"/>
      <w:bookmarkEnd w:id="33"/>
      <w:r>
        <w:t xml:space="preserve">巴基斯坦证券交易所股权收购协议签署仪式举行</w:t>
      </w:r>
    </w:p>
    <w:p>
      <w:r>
        <w:t xml:space="preserve">近日，由中国金融期货交易所、上海证券交易所、深圳证券交易所、中巴投资有限责任公司、巴基斯坦哈比银行组成的联合体与巴基斯坦证券交易所股权出售委员会在卡拉奇举行巴基斯坦证券交易所股权收购协议签署仪式。巴基斯坦财政部长伊沙克•达尔、巴基斯坦证监会主席扎法尔•哈吉兹、中国驻巴基斯坦大使孙卫东出席仪式。</w:t>
      </w:r>
    </w:p>
    <w:p>
      <w:r>
        <w:t xml:space="preserve">根据收购协议，联合体持有巴基斯坦交易所40%的股权，其中中国三家交易所合计持股30%。下一步，联合体将按照巴基斯坦 “证券交易所公司化、去互助化及一体化法案（2012年）”要求的改革方向，全面加强巴基斯坦证券交易所在发展多层次股票市场、债券市场及衍生品市场、提升技术水平和提高投资者认知、加强投资者保护等方面的工作，助推巴基斯坦证券交易所和资本市场获得更快更好的发展。</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券商银河证券正式回归a股"/>
      <w:bookmarkEnd w:id="36"/>
      <w:r>
        <w:t xml:space="preserve">券商银河证券正式回归A股</w:t>
      </w:r>
    </w:p>
    <w:p>
      <w:r>
        <w:t xml:space="preserve">2017年1月23日，中国银河证券股份有限公司A股在上交所挂牌上市，股票简称“中国银河”。至此，中国银河正式成为证券行业第9家内地和香港两地上市券商之一，也是证券行业内第27家A股上市券商。同时，银河证券作为总资产行业排名第6位的券商成功在A股上市，也意味着券商十强已齐聚A股。</w:t>
      </w:r>
    </w:p>
    <w:p>
      <w:r>
        <w:t xml:space="preserve">中国银河证券是一家以经纪业务为主的券商，截至目前拥有396家营业部遍布全国，也是国内营业部数量最多的券商。据中国证券业协会公布的2016年上半年证券公司经营数据，国内总资产排名前十的券商分别为：中信证券、海通证券、广发证券、国泰君安、华泰证券、银河证券、申万宏源、招商证券、国信证券和东方证券。其中，中信证券以4252.26亿元的总资产排名第一位，银河证券在券商总资产排名中位列第六位。中国银河证券此次发行完成后总股本为101.37亿股，其中A股总股本64.46亿股，H股总股本36.91亿股。</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三胞集团与中信银行拟联合设立200亿大健康产业全球并购基金"/>
      <w:bookmarkEnd w:id="39"/>
      <w:r>
        <w:t xml:space="preserve">三胞集团与中信银行拟联合设立200亿大健康产业全球并购基金</w:t>
      </w:r>
    </w:p>
    <w:p>
      <w:r>
        <w:t xml:space="preserve">日前，三胞集团与中信银行签署战略合作协议，双方拟设立200亿大健康产业全球并购基金。中信银行首创了贷投联动模式，即从优质的贷款客户、龙头企业中寻找投资机会，以“债权+股权”的模式为企业提供融资的一种金融创新方式。与三胞集团联手设立健康产业全球并购基金，就是中信银行贷投联动模式的具体体现。</w:t>
      </w:r>
    </w:p>
    <w:p>
      <w:r>
        <w:t xml:space="preserve">根据双方战略合作协议，200亿大健康产业全球并购基金的设立旨在支持三胞集团医疗、生物技术、健康养老等“大健康”业务的全球化布局，投资收购国内外优质项目，引入创新技术和先进管理经验，形成产业链完善、要素互补的健康产业生态圈。中信银行将为三胞集团提供“一揽子”、“一站式”的综合化金融服务，满足其多层次、多元化的金融需求。</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国家税务总局正式启动2017年便民办税春风行动"/>
      <w:bookmarkEnd w:id="43"/>
      <w:r>
        <w:t xml:space="preserve">国家税务总局正式启动2017年“便民办税春风行动”</w:t>
      </w:r>
    </w:p>
    <w:p>
      <w:r>
        <w:t xml:space="preserve">国家税务总局近日正式启动2017年“便民办税春风行动”，推出提速降负、创新服务等5大类20项46条便民办税措施，进一步减少办税时间，优化办税流程，简并申报资料，不断提高纳税人满意度、获得感。</w:t>
      </w:r>
    </w:p>
    <w:p>
      <w:r>
        <w:t xml:space="preserve">国家税务总局党组书记、局长王军要求，要让便民办税春风更持久。要以纳税人的需求为导向，紧盯问题，突破瓶颈，不断优化服务。各级税务机关要切实增强责任感，适应政府职能转变的新要求，多推便民之举，多谋利民之措，多施惠民之策。当天，升级后的全国税务系统12366纳税服务平台正式上线。平台依托12366热线，以信息技术为支撑，集纳税咨询、税法宣传、办税服务、投诉受理、需求管理、纳税人满意度调查六项功能于一体，为纳税人提供“能问、能查、能看、能听、能约、能办”的“六能”型服务。</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保险"/>
      <w:bookmarkEnd w:id="46"/>
      <w:r>
        <w:t xml:space="preserve">保险</w:t>
      </w:r>
    </w:p>
    <w:p>
      <w:pPr>
        <w:pStyle w:val="Heading3"/>
      </w:pPr>
      <w:bookmarkStart w:id="47" w:name="腾讯联手英杰华集团等成立合资公司进军香港保险业"/>
      <w:bookmarkEnd w:id="47"/>
      <w:r>
        <w:t xml:space="preserve">腾讯联手英杰华集团等成立合资公司，进军香港保险业</w:t>
      </w:r>
    </w:p>
    <w:p>
      <w:r>
        <w:t xml:space="preserve">近日，英杰华集团（Aviva）官网发布公告称，已经与高瓴资本、腾讯达成协议，在香港发展一家保险公司。交易完成后，英杰华、高瓴资本各持有英杰华(香港)40%的股权，腾讯持有20%的股权。此项交易还有待监管批准。此次腾讯、高瓴资本入股的香港保险公司将专注数字保险业务。</w:t>
      </w:r>
    </w:p>
    <w:p>
      <w:r>
        <w:t xml:space="preserve">英杰华集团是英国本土最大的保险商，也是世界第五大保险集团。英杰华早在2003年便进入中国开展业务。2003年1月1日，英杰华集团与中国中粮集团合资组建的中英人寿保险有限公司正式开业，目前的业务已经拓展至广东、北京等13个省市，注册资本金29.4598亿元人民币。此外，英杰华在香港市场根植超过150年。此外，腾讯在与英杰华集团合作之前，也参与设立了国内首家互联网保险公司众安保险，持股15%。2016年8月，腾讯旗下子公司参与发起设立和泰人寿保险股份有限公司获批筹建。腾讯成为和泰人寿第一大股东，也是和泰人寿所有股东中唯一的互联网企业。</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国务院再取消一批行政许可事项充分释放市场活力"/>
      <w:bookmarkEnd w:id="51"/>
      <w:r>
        <w:t xml:space="preserve">国务院再取消一批行政许可事项，充分释放市场活力</w:t>
      </w:r>
    </w:p>
    <w:p>
      <w:r>
        <w:t xml:space="preserve">国务院日前印发《关于第三批取消中央指定地方实施行政许可事项的决定》，明确在前两批取消230项审批事项的基础上，再取消39项中央指定地方实施的行政许可事项。</w:t>
      </w:r>
    </w:p>
    <w:p>
      <w:r>
        <w:t xml:space="preserve">本次取消事项，从内容看多数涉及企业生产经营、个人就业创业，取消这些事项有利于为企业和群众松绑减负，释放市场活力。从实施面看，量大面广，与老百姓直接相关，取消这些事项有利于地方简政放权，方便老百姓办事。另外，此次在公布取消事项的同时，公布了取消审批后加强事中事后监管的具体措施，这充分说明简政放权不是简单取消审批，不是政府不管了，而是转变管理方式，采取更为管用的事中事后监管的具体措施和办法。</w:t>
      </w:r>
    </w:p>
    <w:p>
      <w:hyperlink r:id="rId52">
        <w:r>
          <w:rPr>
            <w:rStyle w:val="Link"/>
          </w:rPr>
          <w:t xml:space="preserve">来源</w:t>
        </w:r>
      </w:hyperlink>
      <w:r>
        <w:t xml:space="preserve"> </w:t>
      </w:r>
      <w:r>
        <w:t xml:space="preserve">(</w:t>
      </w:r>
      <w:hyperlink r:id="rId53">
        <w:r>
          <w:rPr>
            <w:rStyle w:val="Link"/>
          </w:rPr>
          <w:t xml:space="preserve">副本</w:t>
        </w:r>
      </w:hyperlink>
      <w:r>
        <w:t xml:space="preserve">) (</w:t>
      </w:r>
      <w:hyperlink r:id="rId54">
        <w:r>
          <w:rPr>
            <w:rStyle w:val="Link"/>
          </w:rPr>
          <w:t xml:space="preserve">副本</w:t>
        </w:r>
      </w:hyperlink>
      <w:r>
        <w:t xml:space="preserve">)</w:t>
      </w:r>
    </w:p>
    <w:p>
      <w:pPr>
        <w:pStyle w:val="Heading3"/>
      </w:pPr>
      <w:bookmarkStart w:id="55" w:name="我国首次明确土壤污染治理与修复实行终身责任制"/>
      <w:bookmarkEnd w:id="55"/>
      <w:r>
        <w:t xml:space="preserve">我国首次明确土壤污染治理与修复实行终身责任制</w:t>
      </w:r>
    </w:p>
    <w:p>
      <w:r>
        <w:t xml:space="preserve">环境保护部日前发布《污染地块土壤环境管理办法》（以下简称《办法》），《办法》提出，按照“谁污染，谁治理”原则，造成土壤污染的单位或个人应当承担治理与修复的主体责任，土壤污染治理与修复实行终身责任制。</w:t>
      </w:r>
    </w:p>
    <w:p>
      <w:r>
        <w:t xml:space="preserve">《办法》规定，对拟开发利用为居住用地和商业、学校、医疗、养老机构等公共设施用地的污染地块，经风险评估确认需要治理与修复的，土地使用权人应当开展治理与修复。由第三方机构按照国家有关环境标准和技术规范，开展效果评估，编制评估报告，并向社会公开，时间不得少于两个月。</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财政部发布关于切实做好2017年基本民生支出保障工作的通知"/>
      <w:bookmarkEnd w:id="58"/>
      <w:r>
        <w:t xml:space="preserve">财政部发布《关于切实做好2017年基本民生支出保障工作的通知》</w:t>
      </w:r>
    </w:p>
    <w:p>
      <w:r>
        <w:t xml:space="preserve">财政部近日发布《关于切实做好2017年基本民生支出保障工作的通知》（以下简称《通知》），要求做好基本民生支出保障的重点工作。</w:t>
      </w:r>
    </w:p>
    <w:p>
      <w:r>
        <w:t xml:space="preserve">《通知》列出了11项重点工作，其中包括：一般性转移支付要优先保障基本民生支出；合理分配和使用民生类专项资金；加大对资源能源型困难地区财政支持力度；统筹盘活各类财政资金加大基本民生保障；压减一般性支出用于基本民生保障；切实保障困难群众的基本生活；认真做好“去产能”人员安置工作；认真落实精准扶贫要求；提前下达和及时拨付各类民生资金；加强基本民生领域财政资金管理；支持完善基本民生保障工作机制。</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务院印发关于第三批清理规范国务院部门行政审批中介服务事项的决定"/>
      <w:bookmarkEnd w:id="61"/>
      <w:r>
        <w:t xml:space="preserve">国务院印发《关于第三批清理规范国务院部门行政审批中介服务事项的决定》</w:t>
      </w:r>
    </w:p>
    <w:p>
      <w:r>
        <w:t xml:space="preserve">经李克强总理签批，国务院日前印发了《关于第三批清理规范国务院部门行政审批中介服务事项的决定》（以下简称《决定》），决定再清理规范一批中介服务事项，不再作为国务院部门行政审批的受理条件。</w:t>
      </w:r>
    </w:p>
    <w:p>
      <w:r>
        <w:t xml:space="preserve">《决定》中指出，这批清理规范的事项，主要分为三类。第一类7项，清理规范后不再要求申请人提供相关评估、论证、鉴定、证明等材料。第二类7项，由原来申请人委托中介提供服务，改为审批部门根据工作需要委托有关机构开展技术性服务。第三类3项，改为既可由申请人自行编制相关材料，也可由申请人继续委托中介机构编制，政府部门不得干预。对涉及安全生产、公共安全等领域的事项，均提出了清理规范后的相应保障措施。一是一些事项申请人不再组织安全评估，改由审批部门委托有关机构开展安全评估，明确了审批责任。二是审批部门加大现有的专家评审或技术复核等安全评估力度。三是审批部门颁布强制性安全标准，并相应加强事中事后监管。</w:t>
      </w:r>
    </w:p>
    <w:p>
      <w:hyperlink r:id="rId62">
        <w:r>
          <w:rPr>
            <w:rStyle w:val="Link"/>
          </w:rPr>
          <w:t xml:space="preserve">来源</w:t>
        </w:r>
      </w:hyperlink>
      <w:r>
        <w:t xml:space="preserve"> </w:t>
      </w:r>
      <w:r>
        <w:t xml:space="preserve">(</w:t>
      </w:r>
      <w:hyperlink r:id="rId63">
        <w:r>
          <w:rPr>
            <w:rStyle w:val="Link"/>
          </w:rPr>
          <w:t xml:space="preserve">副本</w:t>
        </w:r>
      </w:hyperlink>
      <w:r>
        <w:t xml:space="preserve">) (</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长城电脑成功吸收合并长城信息"/>
      <w:bookmarkEnd w:id="66"/>
      <w:r>
        <w:t xml:space="preserve">长城电脑成功吸收合并长城信息</w:t>
      </w:r>
    </w:p>
    <w:p>
      <w:r>
        <w:t xml:space="preserve">日前，中国长城计算机深圳股份有限公司（以下简称“长城电脑”）换股吸收合并长城信息产业股份有限公司（以下简称“长城信息”）方案成功实施。整合后长城电脑将成为中国电子自主可控计算的重要载体和军民融合的信息安全重要平台，这是中国电子信息产业集团有限公司践行国家战略、实施网络安全与信息化系统工程的重大战略步骤，也是国资委推进大型国企改革的重要举措。</w:t>
      </w:r>
    </w:p>
    <w:p>
      <w:r>
        <w:t xml:space="preserve">根据换股吸收合并方案，长城电脑向长城信息全体股东发行股票，以取得长城信息股东持有的全部股票。本次换股吸收合并完成后，长城信息终止上市并注销法人资格，长城电脑作为存续公司承接长城信息的全部资产、负债、权益、业务和人员。本次换股吸收合并交易金额达230亿元，方案涉及换股、过户、现金选择权、终止上市等多个环节。此次长城电脑成功换股吸收合并长城信息，是资本市场服务支持国企改革的重要体现，也是上市公司借助资本市场整合产业资源、实施自身发展战略的一个重大成果。</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巴菲特收购德国管道供应商"/>
      <w:bookmarkEnd w:id="69"/>
      <w:r>
        <w:t xml:space="preserve">巴菲特收购德国管道供应商</w:t>
      </w:r>
    </w:p>
    <w:p>
      <w:r>
        <w:t xml:space="preserve">美国亿万富翁巴菲特将通过旗下精密铸件公司（Precision Castparts）收购德国管道组成件生产商Wilhelm Schulz GmbH。精密铸件公司两年前被巴菲特旗下的伯克希尔哈撒伟公司以370亿美元的价格收购。</w:t>
      </w:r>
    </w:p>
    <w:p>
      <w:r>
        <w:t xml:space="preserve">德国反垄断监管机构目前正在评估这项交易，如果获得批准，这将是巴菲特在德国进行的第二起收购。两年前，伯克希尔哈撒伟以4亿欧元的价格收购了总部位于汉堡的摩托车零部件供应商Louis。巴菲特此前接受德国《商报》采访时曾表示，他希望在德国进行更多收购。在去年5月举行的伯克希尔哈撒伟年度股东大会上，他宣布计划2020年之前收购至少一家德国公司。</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雅化集团拟收购金恒集团36.71国有股权"/>
      <w:bookmarkEnd w:id="72"/>
      <w:r>
        <w:t xml:space="preserve">雅化集团拟收购金恒集团36.71%国有股权</w:t>
      </w:r>
    </w:p>
    <w:p>
      <w:r>
        <w:t xml:space="preserve">2017年1月23日晚间，四川雅化实业集团股份有限公司(以下简称“雅化集团”)公告称，公司董事会近日召开会议，审议通过了《关于参与金恒集团国有股权转让竞拍的议案》。公司拟以自有资金2014万元参与竞拍山西省榆次国有资产经营有限责任公司持有的山西金恒化工集团股份有限公司（以下简称“金恒集团”）36.71%国有股权。</w:t>
      </w:r>
    </w:p>
    <w:p>
      <w:r>
        <w:t xml:space="preserve">目前，雅化集团符合本次股权转让公告中受让方资格条件的要求，拟参与上述国有股权竞买，但由于该部分股权性质为国有股权，须严格按照国有股权转让的相关程序进行，是否取得该部分国有股权还需待最后竞拍结果而定，转让公开竞拍是否成功存在一定的不确定性。如果雅化集团竞拍成功，将成为金恒集团的第二大股东。金恒集团经营业务为民用化工产品、电子产品、批发零售五金交电、机电产品等，也有部分业务是民用爆炸物品的生产、制造。雅化集团此次收购金恒集团的股权，将会产生业务协同作用，进一步拓展民爆产品销售及爆破一体化服务市场。</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第529期 - 2017年01月26日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c90ff0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29/"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54" Target="9a.pdf" TargetMode="External" /><Relationship Type="http://schemas.openxmlformats.org/officeDocument/2006/relationships/hyperlink" Id="rId40" Target="http://company.stcn.com/2017/0122/13027050.shtml" TargetMode="External" /><Relationship Type="http://schemas.openxmlformats.org/officeDocument/2006/relationships/hyperlink" Id="rId48" Target="http://finance.stcn.com/2017/0123/13027527.shtml" TargetMode="External" /><Relationship Type="http://schemas.openxmlformats.org/officeDocument/2006/relationships/hyperlink" Id="rId70" Target="http://kuaixun.stcn.com/2017/0123/13027588.shtml" TargetMode="External" /><Relationship Type="http://schemas.openxmlformats.org/officeDocument/2006/relationships/hyperlink" Id="rId56" Target="http://news.xinhuanet.com/politics/2017-01/18/c_1120339397.htm" TargetMode="External" /><Relationship Type="http://schemas.openxmlformats.org/officeDocument/2006/relationships/hyperlink" Id="rId52" Target="http://news.xinhuanet.com/politics/2017-01/21/c_1120358399.htm" TargetMode="External" /><Relationship Type="http://schemas.openxmlformats.org/officeDocument/2006/relationships/hyperlink" Id="rId62" Target="http://news.xinhuanet.com/politics/2017-01/22/c_1120363952.htm" TargetMode="External" /><Relationship Type="http://schemas.openxmlformats.org/officeDocument/2006/relationships/hyperlink" Id="rId31" Target="http://whs.mof.gov.cn/pdlb/gzdt/201701/t20170123_2525531.html" TargetMode="External" /><Relationship Type="http://schemas.openxmlformats.org/officeDocument/2006/relationships/hyperlink" Id="rId28" Target="http://www.chinaforex.com.cn/index.php/cms/item-view-id-42334.shtml" TargetMode="External" /><Relationship Type="http://schemas.openxmlformats.org/officeDocument/2006/relationships/hyperlink" Id="rId59" Target="http://www.chinaforex.com.cn/index.php/cms/item-view-id-42338.shtml" TargetMode="External" /><Relationship Type="http://schemas.openxmlformats.org/officeDocument/2006/relationships/hyperlink" Id="rId44" Target="http://www.chinatax.gov.cn/n810219/n810724/n1275550/c2457536/content.html" TargetMode="External" /><Relationship Type="http://schemas.openxmlformats.org/officeDocument/2006/relationships/hyperlink" Id="rId25" Target="http://www.csrc.gov.cn/pub/newsite/zjhxwfb/xwdd/201701/t20170120_309807.html" TargetMode="External" /><Relationship Type="http://schemas.openxmlformats.org/officeDocument/2006/relationships/hyperlink" Id="rId34" Target="http://www.sse.com.cn/aboutus/mediacenter/hotandd/c/c_20170120_4231076.shtml" TargetMode="External" /><Relationship Type="http://schemas.openxmlformats.org/officeDocument/2006/relationships/hyperlink" Id="rId37" Target="http://www.stcn.com/2017/0124/13029257.shtml" TargetMode="External" /><Relationship Type="http://schemas.openxmlformats.org/officeDocument/2006/relationships/hyperlink" Id="rId67" Target="http://www.szse.cn/main/aboutus/bsyw/39764228.shtml" TargetMode="External" /><Relationship Type="http://schemas.openxmlformats.org/officeDocument/2006/relationships/hyperlink" Id="rId73" Target="http://yq.stcn.com/2017/0123/13028827.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29/"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54" Target="9a.pdf" TargetMode="External" /><Relationship Type="http://schemas.openxmlformats.org/officeDocument/2006/relationships/hyperlink" Id="rId40" Target="http://company.stcn.com/2017/0122/13027050.shtml" TargetMode="External" /><Relationship Type="http://schemas.openxmlformats.org/officeDocument/2006/relationships/hyperlink" Id="rId48" Target="http://finance.stcn.com/2017/0123/13027527.shtml" TargetMode="External" /><Relationship Type="http://schemas.openxmlformats.org/officeDocument/2006/relationships/hyperlink" Id="rId70" Target="http://kuaixun.stcn.com/2017/0123/13027588.shtml" TargetMode="External" /><Relationship Type="http://schemas.openxmlformats.org/officeDocument/2006/relationships/hyperlink" Id="rId56" Target="http://news.xinhuanet.com/politics/2017-01/18/c_1120339397.htm" TargetMode="External" /><Relationship Type="http://schemas.openxmlformats.org/officeDocument/2006/relationships/hyperlink" Id="rId52" Target="http://news.xinhuanet.com/politics/2017-01/21/c_1120358399.htm" TargetMode="External" /><Relationship Type="http://schemas.openxmlformats.org/officeDocument/2006/relationships/hyperlink" Id="rId62" Target="http://news.xinhuanet.com/politics/2017-01/22/c_1120363952.htm" TargetMode="External" /><Relationship Type="http://schemas.openxmlformats.org/officeDocument/2006/relationships/hyperlink" Id="rId31" Target="http://whs.mof.gov.cn/pdlb/gzdt/201701/t20170123_2525531.html" TargetMode="External" /><Relationship Type="http://schemas.openxmlformats.org/officeDocument/2006/relationships/hyperlink" Id="rId28" Target="http://www.chinaforex.com.cn/index.php/cms/item-view-id-42334.shtml" TargetMode="External" /><Relationship Type="http://schemas.openxmlformats.org/officeDocument/2006/relationships/hyperlink" Id="rId59" Target="http://www.chinaforex.com.cn/index.php/cms/item-view-id-42338.shtml" TargetMode="External" /><Relationship Type="http://schemas.openxmlformats.org/officeDocument/2006/relationships/hyperlink" Id="rId44" Target="http://www.chinatax.gov.cn/n810219/n810724/n1275550/c2457536/content.html" TargetMode="External" /><Relationship Type="http://schemas.openxmlformats.org/officeDocument/2006/relationships/hyperlink" Id="rId25" Target="http://www.csrc.gov.cn/pub/newsite/zjhxwfb/xwdd/201701/t20170120_309807.html" TargetMode="External" /><Relationship Type="http://schemas.openxmlformats.org/officeDocument/2006/relationships/hyperlink" Id="rId34" Target="http://www.sse.com.cn/aboutus/mediacenter/hotandd/c/c_20170120_4231076.shtml" TargetMode="External" /><Relationship Type="http://schemas.openxmlformats.org/officeDocument/2006/relationships/hyperlink" Id="rId37" Target="http://www.stcn.com/2017/0124/13029257.shtml" TargetMode="External" /><Relationship Type="http://schemas.openxmlformats.org/officeDocument/2006/relationships/hyperlink" Id="rId67" Target="http://www.szse.cn/main/aboutus/bsyw/39764228.shtml" TargetMode="External" /><Relationship Type="http://schemas.openxmlformats.org/officeDocument/2006/relationships/hyperlink" Id="rId73" Target="http://yq.stcn.com/2017/0123/13028827.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第529期 - 2017年01月26日</dc:title>
  <dc:creator/>
</cp:coreProperties>
</file>