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第531期</w:t>
      </w:r>
      <w:r>
        <w:t xml:space="preserve"> </w:t>
      </w:r>
      <w:r>
        <w:t xml:space="preserve">-</w:t>
      </w:r>
      <w:r>
        <w:t xml:space="preserve"> </w:t>
      </w:r>
      <w:r>
        <w:t xml:space="preserve">2017年02月17日</w:t>
      </w:r>
    </w:p>
    <w:p>
      <w:hyperlink r:id="rId21">
        <w:r>
          <w:rPr>
            <w:rStyle w:val="Link"/>
          </w:rPr>
          <w:t xml:space="preserve">网络版</w:t>
        </w:r>
      </w:hyperlink>
    </w:p>
    <w:p>
      <w:pPr>
        <w:pStyle w:val="Heading1"/>
      </w:pPr>
      <w:bookmarkStart w:id="22" w:name="中国证监会2017年全国证券期货监管工作会议在京召开"/>
      <w:bookmarkEnd w:id="22"/>
      <w:r>
        <w:t xml:space="preserve">中国证监会：2017年全国证券期货监管工作会议在京召开</w:t>
      </w:r>
    </w:p>
    <w:p>
      <w:pPr>
        <w:pStyle w:val="Heading2"/>
      </w:pPr>
      <w:bookmarkStart w:id="23" w:name="资本市场"/>
      <w:bookmarkEnd w:id="23"/>
      <w:r>
        <w:t xml:space="preserve">资本市场</w:t>
      </w:r>
    </w:p>
    <w:p>
      <w:pPr>
        <w:pStyle w:val="Heading3"/>
      </w:pPr>
      <w:bookmarkStart w:id="24" w:name="中国证监会2017年全国证券期货监管工作会议在京召开-1"/>
      <w:bookmarkEnd w:id="24"/>
      <w:r>
        <w:t xml:space="preserve">中国证监会：2017年全国证券期货监管工作会议在京召开</w:t>
      </w:r>
    </w:p>
    <w:p>
      <w:r>
        <w:t xml:space="preserve">2017年全国证券期货监管工作会议近日在证监会机关召开。会议总结了过去一年的工作，分析了当前市场形势，部署今年重点任务。中国证监会党委书记、主席刘士余出席，作题为“不断强化‘四个意识’ 牢牢把握稳中求进 协调推进资本市场改革稳定发展”的讲话。</w:t>
      </w:r>
    </w:p>
    <w:p>
      <w:r>
        <w:t xml:space="preserve">会议强调，2017年证券期货监管工作的总体要求是：一是深入推进全面从严治党、全面从严治会，确保资本市场发展的政治方向不动摇。二是将防风险放在更加突出位置，牢牢守住不发生系统性风险的底线。三是深化依法全面从严监管，维护市场秩序，继续提升监管能力。四是紧紧围绕供给侧结构性改革这条主线，切实提升服务实体经济能力。五是稳步推进多层次资本市场体系建设。六是加强市场基础设施和监管保障能力建设。七是积极推进资本市场法制与诚信建设和投资者保护工作。八是开拓资本市场对外开放新格局。九是加强全系统自身建设。</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发布期货公司柜台系统数据接口规范行业标准"/>
      <w:bookmarkEnd w:id="27"/>
      <w:r>
        <w:t xml:space="preserve">证监会发布《期货公司柜台系统数据接口规范》行业标准</w:t>
      </w:r>
    </w:p>
    <w:p>
      <w:r>
        <w:t xml:space="preserve">为解决目前各期货公司使用多套柜台系统且各系统使用私有接口协议，缺乏完整的柜台系统解决方案，导致系统间业务数据交互困难等问题，证监会发布了《期货公司柜台系统数据接口规范》行业标准。</w:t>
      </w:r>
    </w:p>
    <w:p>
      <w:r>
        <w:t xml:space="preserve">证监会称，期货公司柜台系统数据接口标准的制定，旨在厘清和规范柜台系统内部交易、清算、风控、账户和资金管理等主要模块间的数据交互接口，提升行业效率、降低行业成本，满足行业快速发展需要。今后，本着降低行业信息系统运行风险，提高行业运行效率，提升行业标准化水平的目的，证监会还将陆续组织制定多项金融行业标准。</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将保本基金名称调整为避险策略基金"/>
      <w:bookmarkEnd w:id="30"/>
      <w:r>
        <w:t xml:space="preserve">证监会：将“保本基金”名称调整为“避险策略基金”</w:t>
      </w:r>
    </w:p>
    <w:p>
      <w:r>
        <w:t xml:space="preserve">近日，证监会发布《关于避险策略基金的指导意见》，将“保本基金”名称调整为“避险策略基金”。对很多人来说，所谓的保本基金指的是能够保障本金安全的基金投资产品，但实际情况是，保本基金并不能确保对投资本金的绝对保障。正是为了避免这种误解，才进行更名。</w:t>
      </w:r>
    </w:p>
    <w:p>
      <w:r>
        <w:t xml:space="preserve">据证监会发言人邓舸介绍，目前我国存续的保本基金共有151只，资产净值约3200亿元，总体来看，保本基金运行较为平稳，没有出现到期不能保本的情况。但是监管部门也注意到，保本基金的保障机制存在一定问题，保本策略可能失效，保本基金快速膨胀可能带来风险。为了充分揭示这些风险，保本基金将更名为“避险策略基金”。</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石油济柴更名为中油资本开启资本市场新征程"/>
      <w:bookmarkEnd w:id="33"/>
      <w:r>
        <w:t xml:space="preserve">石油济柴更名为中油资本，开启资本市场新征程</w:t>
      </w:r>
    </w:p>
    <w:p>
      <w:r>
        <w:t xml:space="preserve">日前，济南柴油机股份有限公司（以下简称“石油济柴”）成功实施完成重大资产重组。上市公司原有资产和负债全部置出，中石油集团旗下金融控股平台中国石油集团资本有限责任公司100%股权置入。上市公司披露公告称，公司全称变更为中国石油集团资本股份有限公司，证券简称变更为中油资本，中油资本在深交所成功举办重组更名仪式，开启资本市场新征程。</w:t>
      </w:r>
    </w:p>
    <w:p>
      <w:r>
        <w:t xml:space="preserve">本次重组标的中油资本100%股权的交易金额高达755亿元，创下2016年A股市场并购重组交易规模之最。中油资本的业务范围涵盖财务公司、银行、金融租赁、信托、保险、保险经纪和证券等多项金融业务，拥有齐全的金融业务牌照。通过本次重大资产重组，中石油集团实现金融板块整体上市。本次交易中油资本共发行8,742,517,285股普通股股票，股份上市后，中油资本总市值超过1,700亿元。作为中石油集团下属金融业务管理的专业化公司，中油资本将成为中石油集团金融业务整合、金融股权投资、金融资产监管、金融风险管控的平台。</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保监会2017年可能是保险资金运用非常困难的一年"/>
      <w:bookmarkEnd w:id="37"/>
      <w:r>
        <w:t xml:space="preserve">保监会：2017年可能是保险资金运用非常困难的一年</w:t>
      </w:r>
    </w:p>
    <w:p>
      <w:r>
        <w:t xml:space="preserve">中国保监会副主席陈文辉日前在出席保险资金运用专题培训会上表示，2017年可能是保险资金运用非常困难的一年，保险业要切实增强风险意识、责任意识和底线意识，对于风险问题要保持高度警惕和敏感，牢牢守住制度红线和风险底线。</w:t>
      </w:r>
    </w:p>
    <w:p>
      <w:r>
        <w:t xml:space="preserve">2017年及今后一段时期，保险资金运用监管工作将牢牢把握“保险业姓保、保监会姓监”定位，坚决处置存在的风险隐患、撤销不符合条件的投资能力备案、处罚违规机构、问责投资责任人，坚决守住不发生系统性区域性风险的底线。主要措施包括：限制或取消高风险保险机构的有关业务，把差异化监管和分类监管落到实处；从严规范保险资金关联交易行为，从严问责和处罚；建立资产负债管理的定量评估、定性评估和压力测试等规则；加强法律制度建设，创新监管工作和强化监管信息系统等基础设施建设。</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中国首家相互保险社获批开业多家上市公司参股"/>
      <w:bookmarkEnd w:id="40"/>
      <w:r>
        <w:t xml:space="preserve">中国首家相互保险社获批开业，多家上市公司参股</w:t>
      </w:r>
    </w:p>
    <w:p>
      <w:r>
        <w:t xml:space="preserve">2017年2月15日，众惠财产相互保险社（以下简称“众惠相互”）宣布，于2017年2月10日获得保监会开业批复，并于2017年2月14日获得营业执照，成为中国首家开业的相互保险社。</w:t>
      </w:r>
    </w:p>
    <w:p>
      <w:r>
        <w:t xml:space="preserve">据悉，众惠相互初始运营资金10亿元，主营业务包括信用保险、保证保险、短期健康和意外伤害保险等。众惠相互由12家企业及自然人提供初始运营资金，其中有多家上市公司直接或间接参股，包括永泰能源、键桥通讯旗下全资子公司大连先锋投资管理有限公司等等。业内专家指出，从筹建方案看，首批相互保险社都致力于在当前国家亟需的小微企业、建筑企业金融服务以及特定群体养老健康保障等方面发挥积极作用，为保险需求没有得到很好满足的群体提供创新性的保险服务。</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国务院办公厅印发推行行政执法公示制度执法全过程记录制度重大执法决定法制审核制度试点工作方案"/>
      <w:bookmarkEnd w:id="44"/>
      <w:r>
        <w:t xml:space="preserve">国务院办公厅印发《推行行政执法公示制度执法全过程记录制度重大执法决定法制审核制度试点工作方案》</w:t>
      </w:r>
    </w:p>
    <w:p>
      <w:r>
        <w:t xml:space="preserve">日前，国务院办公厅印发《推行行政执法公示制度执法全过程记录制度重大执法决定法制审核制度试点工作方案》（以下简称《方案》）。</w:t>
      </w:r>
    </w:p>
    <w:p>
      <w:r>
        <w:t xml:space="preserve">《方案》确定在天津市、河北省、安徽省、甘肃省、国土资源部以及呼和浩特市等32个地方和部门开展试点。各试点地方和部门在行政许可、行政处罚、行政强制、行政征收、行政收费、行政检查六类行政执法行为中推行行政执法公示制度、执法全过程记录制度和重大执法决定法制审核制度。另外，《方案》指出，推行行政执法公示制度、执法全过程记录制度、重大执法决定法制审核制度试点工作，对于促进行政机关严格规范公正文明执法，保障和监督行政机关有效履行职责，维护人民群众合法权益，具有重要意义。</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最高人民法院发布落实保护司法人员依法履行法定职责的规定实施办法"/>
      <w:bookmarkEnd w:id="47"/>
      <w:r>
        <w:t xml:space="preserve">最高人民法院发布落实《保护司法人员依法履行法定职责的规定》实施办法</w:t>
      </w:r>
    </w:p>
    <w:p>
      <w:r>
        <w:t xml:space="preserve">为贯彻落实中共中央办公厅、国务院办公厅印发的《保护司法人员依法履行法定职责规定》，最高人民法院日前发布了《人民法院落实〈保护司法人员依法履行法定职责的规定〉的实施办法》（以下简称《办法》），并同步发布司法人员履职保障十大典型案例。</w:t>
      </w:r>
    </w:p>
    <w:p>
      <w:r>
        <w:t xml:space="preserve">《办法》共二十四条，涉及免受干预、免责机制、救济渠道、公正考核、安全保障、休假权利、薪酬保障等内容，是对《保护司法人员依法履行法定职责规定》的细化和落实。主要内容体现在以下几个方面：第一，明确法官依法办案不受外部干预。 第二，要求不得安排法官从事超出法定职责范围的事务。第三，规定了法官受到非法处理、处分时的救济渠道和救济方式。第四，强化了对法官及其近亲属人身权益的保护措施。第五，切实保障法官在公正考核、薪酬保障、教育培训、心理疏导、医疗保障和休息休假方面的权利。</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家标准将于2020年全部免费公开"/>
      <w:bookmarkEnd w:id="50"/>
      <w:r>
        <w:t xml:space="preserve">国家标准将于2020年全部免费公开</w:t>
      </w:r>
    </w:p>
    <w:p>
      <w:r>
        <w:t xml:space="preserve">近日，质检总局、国家标准委以国务院标准化协调推进部际联席会议办公室名义印发《推进国家标准公开工作实施方案》（以下简称《实施方案》），要求国务院相关部门向社会免费公开国家标准相关信息。国务院各有关部门、各省（区、市）人民政府可参照方案，开展本部门、本地区的行业标准、地方标准公开工作。</w:t>
      </w:r>
    </w:p>
    <w:p>
      <w:r>
        <w:t xml:space="preserve">《实施方案》明确了国家标准的公开时限。新批准发布的国家标准文本在标准发布后20个工作日内公开，国家标准题录信息和制修订信息及时公开，涉及采用国际（国外）标准的推荐性国家标准文本在遵守国际（国外）版权政策前提下进行公开；对于已经发布的存量国家标准，分阶段免费向社会公开，到2020年，实现全部公开。另外，《实施方案》规定了国家标准的公开内容。包括国家标准文本（含修改单）、题录信息和制修订信息。所有公开信息全部免费在线阅读，不收取任何费用，以方便社会公众快捷获取国家标准信息。</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务院办公厅印发关于进一步改革完善药品生产流通使用政策的若干意见"/>
      <w:bookmarkEnd w:id="53"/>
      <w:r>
        <w:t xml:space="preserve">国务院办公厅印发《关于进一步改革完善药品生产流通使用政策的若干意见》</w:t>
      </w:r>
    </w:p>
    <w:p>
      <w:r>
        <w:t xml:space="preserve">近日，国务院办公厅印发《关于进一步改革完善药品生产流通使用政策的若干意见》（以下简称《意见》）。就上市公司来看，创新研发实力较强的贝达药业、恒瑞医药、信立泰、天士力等医药生产企业，以及在创新药研发中充当重要角色的医药外包服务公司，如泰格医药、博腾股份、博济医药等企业都将在此次药品生产领域改革中迎来更多的发展机遇。</w:t>
      </w:r>
    </w:p>
    <w:p>
      <w:r>
        <w:t xml:space="preserve">《意见》明确，在流通环节重点整顿流通秩序，改革完善流通体制，其中包括：推动药品流通企业转型升级，加快形成以大型骨干企业为主体、中小型企业为补充的城乡药品流通网络；落实药品分类采购政策，逐步扩大国家药品价格谈判品种范围，降低药品虚高价格；加强药品购销合同管理，违反合同约定要承担相应的处罚等等。药品领域向来是深化医药卫生体制改革的重要内容，是“医疗、医保、医药”联动改革的重要一环。本次《意见》针对我国药品质量参差不齐、部分药品价格虚高等突出问题，从生产、流通、使用全链条、全流程提出了17条有针对性的改革举措。</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土资源部发布关于进一步加快宅基地和集体建设用地确权登记发证有关问题的通知"/>
      <w:bookmarkEnd w:id="56"/>
      <w:r>
        <w:t xml:space="preserve">国土资源部发布《关于进一步加快宅基地和集体建设用地确权登记发证有关问题的通知》</w:t>
      </w:r>
    </w:p>
    <w:p>
      <w:r>
        <w:t xml:space="preserve">国土资源部近日下发《关于进一步加快宅基地和集体建设用地确权登记发证有关问题的通知》（以下简称《通知》）。《通知》就非本农民集体成员（含城镇居民和华侨）依法取得的宅基地如何进行确权登记等做出明确规定， 1999年之后城镇居民使用宅基地的，不予确权登记。</w:t>
      </w:r>
    </w:p>
    <w:p>
      <w:r>
        <w:t xml:space="preserve">《通知》要求，开展权籍调查时，不动产登记机构应将宅基地、集体建设用地和房屋的权属调查结果送达农村集体经济组织，并在村民会议或村民代表会议上说明，同时以张贴公告等形式公示权属调查结果，做到农村权籍调查公正、公开，充分保障农民的知情权。</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并购"/>
      <w:bookmarkEnd w:id="59"/>
      <w:r>
        <w:t xml:space="preserve">并购</w:t>
      </w:r>
    </w:p>
    <w:p>
      <w:pPr>
        <w:pStyle w:val="Heading3"/>
      </w:pPr>
      <w:bookmarkStart w:id="60" w:name="中源协和拟收购美国基因企业origene"/>
      <w:bookmarkEnd w:id="60"/>
      <w:r>
        <w:t xml:space="preserve">中源协和拟收购美国基因企业OriGene</w:t>
      </w:r>
    </w:p>
    <w:p>
      <w:r>
        <w:t xml:space="preserve">中源协和细胞基因工程股份有限公司（以下简称“中源协和”）发布公告称，拟通过收购上海傲源投资管理有限公司100%股权，将其在美国全资子公司OriGene Technologies, Inc.的基因及医学诊断试剂等业务纳入到上市公司。本次重大资产重组交易的最终方案尚未确定，中源协和将继续停牌。</w:t>
      </w:r>
    </w:p>
    <w:p>
      <w:r>
        <w:t xml:space="preserve">近年来，OriGene公司通过先后收购Blue Heron生物科技公司、北京中杉金桥生物技术有限公司、SDIX公司等业内公司，加强和完善了在基因领域的业务链布局，已经建立起丰富的基因、蛋白、抗体、分析试剂盒等一整套产品线。中源协和称通过并购OriGene公司，吸纳优质资源，全面加强了基因方向的布局，可以更好地推动“细胞+基因”双核驱动的发展战略和“6+1”全产业链业务模式的发展。</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兆易创新拟以65亿元收购北京矽成100股权"/>
      <w:bookmarkEnd w:id="63"/>
      <w:r>
        <w:t xml:space="preserve">兆易创新拟以65亿元收购北京矽成100%股权</w:t>
      </w:r>
    </w:p>
    <w:p>
      <w:r>
        <w:t xml:space="preserve">北京兆易创新科技股份有限公司（以下简称“兆易创新”）于2017年2月13日晚发布《发行股份及支付现金购买资产并募集配套资金暨关联交易预案》，拟以发行股份及支付现金的方式收购上海承裕、屹唐投资、华创芯原、闪胜创芯、民和志威合计持有的北京矽成100%股权。</w:t>
      </w:r>
    </w:p>
    <w:p>
      <w:r>
        <w:t xml:space="preserve">标的资产北京矽成100%股权的交易价格暂定为650,000万元，其中股份支付对价为455,000万元，现金支付对价为195,000万元。本次发行股份及支付现金购买资产的股份发行价格为158.30元/股，预计共需发行28,742,891股股份。公告表示，上市公司与标的公司均主要从事集成电路存储芯片及其衍生产品的研发、技术支持和销售，本次交易属于对同行业优质企业的整合收购，交易完成后可以形成良好的规模效应。同时，通过存储芯片产品品类的扩充，以及产品适用领域逐渐迈入专用级应用市场，上市公司产品的市场占有率将迎来进一步增长，公司的品牌影响力将得到更广范围的提升。</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波智高远终止收购康盛达美"/>
      <w:bookmarkEnd w:id="66"/>
      <w:r>
        <w:t xml:space="preserve">波智高远终止收购康盛达美</w:t>
      </w:r>
    </w:p>
    <w:p>
      <w:r>
        <w:t xml:space="preserve">北京波智高远信息技术有限公司（以下简称“波智高远”）近日发布公告，公司第三届董事会第八次会议决议终止收购深圳市康盛达美信息科技有限公司。波智高远尚未向交易对手方支付股权收购款项，康盛达美工商过户手续尚未办理，终止收购康盛达美对波智高远的经营没有影响。</w:t>
      </w:r>
    </w:p>
    <w:p>
      <w:r>
        <w:t xml:space="preserve">公告显示，波智高远原计划以1元的价格向许浩坤购买其所持有的深圳市康盛达美信息科技有限公司99%股权、以1元的价格向路美君购买其所持有的康盛达美1%股权。公司表示，根据发展战略的需求，经过审慎研究并且与康盛达美及其股东友好协商，拟终止收购康盛达美。</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广安爱众拟收购宣燃股份和爱众水务股权"/>
      <w:bookmarkEnd w:id="69"/>
      <w:r>
        <w:t xml:space="preserve">广安爱众拟收购宣燃股份和爱众水务股权</w:t>
      </w:r>
    </w:p>
    <w:p>
      <w:r>
        <w:t xml:space="preserve">停牌逾3个月的四川广安爱众股份有限公司（以下简称“广安爱众”）发布公告称，公司拟通过发行股份的方式，作价9.5亿元收购上海众能等26名法人和自然人持有的宣燃股份变更为有限责任公司后的100%股权，以及作价2.13亿元收购爱众集团、花园制水持有的爱众水务100%股权，同时募集不超过4.999亿元配套资金。预案显示，广安爱众本次发行股份购买资产的发行价格，以及募集配套资金的发行价格，均为7.35元/股。交易完成后，宣燃股份、爱众水务将成为上市公司的全资子公司。</w:t>
      </w:r>
    </w:p>
    <w:p>
      <w:r>
        <w:t xml:space="preserve">宣燃股份是皖南地区最大的民营天然气城镇运营商，其主营业务为天然气销售、燃气管网的安装和天然气的贸易、运输。交易方承诺，宣燃股份2017年、2018年和2019年经审计的归属于母公司的净利润合计不低于2.15亿元。本次交易另一标的爱众水务是广安爱众最主要的原水供应商之一，公司通过本次重组，将打通上下游的产业链，提高公司在水务行业的竞争力。</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第531期 - 2017年02月17日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a2f1e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1/"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7" Target="http://company.stcn.com/2017/0208/13040029.shtml" TargetMode="External" /><Relationship Type="http://schemas.openxmlformats.org/officeDocument/2006/relationships/hyperlink" Id="rId61" Target="http://company.stcn.com/2017/0210/13045747.shtml" TargetMode="External" /><Relationship Type="http://schemas.openxmlformats.org/officeDocument/2006/relationships/hyperlink" Id="rId70" Target="http://company.stcn.com/2017/0214/13048789.shtml" TargetMode="External" /><Relationship Type="http://schemas.openxmlformats.org/officeDocument/2006/relationships/hyperlink" Id="rId38" Target="http://finance.stcn.com/2017/0213/13046785.shtml" TargetMode="External" /><Relationship Type="http://schemas.openxmlformats.org/officeDocument/2006/relationships/hyperlink" Id="rId41" Target="http://kuaixun.stcn.com/2017/0215/13051497.shtml" TargetMode="External" /><Relationship Type="http://schemas.openxmlformats.org/officeDocument/2006/relationships/hyperlink" Id="rId54" Target="http://news.xinhuanet.com/politics/2017-02/10/c_1120441672.htm" TargetMode="External" /><Relationship Type="http://schemas.openxmlformats.org/officeDocument/2006/relationships/hyperlink" Id="rId57" Target="http://politics.people.com.cn/n1/2017/0208/c1001-29067213.html" TargetMode="External" /><Relationship Type="http://schemas.openxmlformats.org/officeDocument/2006/relationships/hyperlink" Id="rId48" Target="http://www.chinacourt.org/article/detail/2017/02/id/2540689.shtml" TargetMode="External" /><Relationship Type="http://schemas.openxmlformats.org/officeDocument/2006/relationships/hyperlink" Id="rId28" Target="http://www.chinalawinfo.com/News/NewsFullText.aspx?NewsId=84396&amp;NewsType=1" TargetMode="External" /><Relationship Type="http://schemas.openxmlformats.org/officeDocument/2006/relationships/hyperlink" Id="rId31" Target="http://www.chinalawinfo.com/News/NewsFullText.aspx?NewsId=84407&amp;NewsType=1" TargetMode="External" /><Relationship Type="http://schemas.openxmlformats.org/officeDocument/2006/relationships/hyperlink" Id="rId64" Target="http://www.cs.com.cn/ssgs/ggjd/201702/t20170213_5176051.html" TargetMode="External" /><Relationship Type="http://schemas.openxmlformats.org/officeDocument/2006/relationships/hyperlink" Id="rId25" Target="http://www.csrc.gov.cn/pub/newsite/zjhxwfb/xwdd/201702/t20170210_310621.html" TargetMode="External" /><Relationship Type="http://schemas.openxmlformats.org/officeDocument/2006/relationships/hyperlink" Id="rId51" Target="http://www.legaldaily.com.cn/index/content/2017-02/10/content_7009257.htm?node=20908" TargetMode="External" /><Relationship Type="http://schemas.openxmlformats.org/officeDocument/2006/relationships/hyperlink" Id="rId45" Target="http://www.legaldaily.com.cn/index/content/2017-02/11/content_7009308.htm?node=20908" TargetMode="External" /><Relationship Type="http://schemas.openxmlformats.org/officeDocument/2006/relationships/hyperlink" Id="rId34" Target="http://www.szse.cn/main/aboutus/bsyw/39765426.shtml"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1/"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7" Target="http://company.stcn.com/2017/0208/13040029.shtml" TargetMode="External" /><Relationship Type="http://schemas.openxmlformats.org/officeDocument/2006/relationships/hyperlink" Id="rId61" Target="http://company.stcn.com/2017/0210/13045747.shtml" TargetMode="External" /><Relationship Type="http://schemas.openxmlformats.org/officeDocument/2006/relationships/hyperlink" Id="rId70" Target="http://company.stcn.com/2017/0214/13048789.shtml" TargetMode="External" /><Relationship Type="http://schemas.openxmlformats.org/officeDocument/2006/relationships/hyperlink" Id="rId38" Target="http://finance.stcn.com/2017/0213/13046785.shtml" TargetMode="External" /><Relationship Type="http://schemas.openxmlformats.org/officeDocument/2006/relationships/hyperlink" Id="rId41" Target="http://kuaixun.stcn.com/2017/0215/13051497.shtml" TargetMode="External" /><Relationship Type="http://schemas.openxmlformats.org/officeDocument/2006/relationships/hyperlink" Id="rId54" Target="http://news.xinhuanet.com/politics/2017-02/10/c_1120441672.htm" TargetMode="External" /><Relationship Type="http://schemas.openxmlformats.org/officeDocument/2006/relationships/hyperlink" Id="rId57" Target="http://politics.people.com.cn/n1/2017/0208/c1001-29067213.html" TargetMode="External" /><Relationship Type="http://schemas.openxmlformats.org/officeDocument/2006/relationships/hyperlink" Id="rId48" Target="http://www.chinacourt.org/article/detail/2017/02/id/2540689.shtml" TargetMode="External" /><Relationship Type="http://schemas.openxmlformats.org/officeDocument/2006/relationships/hyperlink" Id="rId28" Target="http://www.chinalawinfo.com/News/NewsFullText.aspx?NewsId=84396&amp;NewsType=1" TargetMode="External" /><Relationship Type="http://schemas.openxmlformats.org/officeDocument/2006/relationships/hyperlink" Id="rId31" Target="http://www.chinalawinfo.com/News/NewsFullText.aspx?NewsId=84407&amp;NewsType=1" TargetMode="External" /><Relationship Type="http://schemas.openxmlformats.org/officeDocument/2006/relationships/hyperlink" Id="rId64" Target="http://www.cs.com.cn/ssgs/ggjd/201702/t20170213_5176051.html" TargetMode="External" /><Relationship Type="http://schemas.openxmlformats.org/officeDocument/2006/relationships/hyperlink" Id="rId25" Target="http://www.csrc.gov.cn/pub/newsite/zjhxwfb/xwdd/201702/t20170210_310621.html" TargetMode="External" /><Relationship Type="http://schemas.openxmlformats.org/officeDocument/2006/relationships/hyperlink" Id="rId51" Target="http://www.legaldaily.com.cn/index/content/2017-02/10/content_7009257.htm?node=20908" TargetMode="External" /><Relationship Type="http://schemas.openxmlformats.org/officeDocument/2006/relationships/hyperlink" Id="rId45" Target="http://www.legaldaily.com.cn/index/content/2017-02/11/content_7009308.htm?node=20908" TargetMode="External" /><Relationship Type="http://schemas.openxmlformats.org/officeDocument/2006/relationships/hyperlink" Id="rId34" Target="http://www.szse.cn/main/aboutus/bsyw/39765426.shtml"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第531期 - 2017年02月17日</dc:title>
  <dc:creator/>
</cp:coreProperties>
</file>