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第532期</w:t>
      </w:r>
      <w:r>
        <w:t xml:space="preserve"> </w:t>
      </w:r>
      <w:r>
        <w:t xml:space="preserve">-</w:t>
      </w:r>
      <w:r>
        <w:t xml:space="preserve"> </w:t>
      </w:r>
      <w:r>
        <w:t xml:space="preserve">2017年02月24日</w:t>
      </w:r>
    </w:p>
    <w:p>
      <w:hyperlink r:id="rId21">
        <w:r>
          <w:rPr>
            <w:rStyle w:val="Link"/>
          </w:rPr>
          <w:t xml:space="preserve">网络版</w:t>
        </w:r>
      </w:hyperlink>
    </w:p>
    <w:p>
      <w:pPr>
        <w:pStyle w:val="Heading1"/>
      </w:pPr>
      <w:bookmarkStart w:id="22" w:name="证监会完善上市公司非公开发行股票规则"/>
      <w:bookmarkEnd w:id="22"/>
      <w:r>
        <w:t xml:space="preserve">证监会完善上市公司非公开发行股票规则</w:t>
      </w:r>
    </w:p>
    <w:p>
      <w:pPr>
        <w:pStyle w:val="Heading2"/>
      </w:pPr>
      <w:bookmarkStart w:id="23" w:name="资本市场"/>
      <w:bookmarkEnd w:id="23"/>
      <w:r>
        <w:t xml:space="preserve">资本市场</w:t>
      </w:r>
    </w:p>
    <w:p>
      <w:pPr>
        <w:pStyle w:val="Heading3"/>
      </w:pPr>
      <w:bookmarkStart w:id="24" w:name="证监会完善上市公司非公开发行股票规则-1"/>
      <w:bookmarkEnd w:id="24"/>
      <w:r>
        <w:t xml:space="preserve">证监会完善上市公司非公开发行股票规则</w:t>
      </w:r>
    </w:p>
    <w:p>
      <w:r>
        <w:t xml:space="preserve">为优化资本市场资源配置功能，引导规范上市公司融资行为，完善非公开发行股票定价机制，保护中小投资者合法权益，证监会对《上市公司非公开发行股票实施细则》（以下简称《实施细则》）部分条文进行了修订，发布了《发行监管问答—关于引导规范上市公司融资行为的监管要求》（以下简称《监管问答》）。</w:t>
      </w:r>
    </w:p>
    <w:p>
      <w:r>
        <w:t xml:space="preserve">《监管问答》主要内容为：一是上市公司申请非公开发行股票的，拟发行的股份数量不得超过本次发行前总股本的20%。二是上市公司申请增发、配股、非公开发行股票的，本次发行董事会决议日距离前次募集资金到位日原则上不得少于18个月。前次募集资金包括首发、增发、配股、非公开发行股票。但对于发行可转债、优先股和创业板小额快速融资的，不受此期限限制。三是上市公司申请再融资时，除金融类企业外，原则上最近一期末不得存在持有金额较大、期限较长的交易性金融资产和可供出售的金融资产、借予他人款项、委托理财等财务性投资的情形。另外，本次修订后的《实施细则》进一步突出了市场化定价机制的约束作用，取消了将董事会决议公告日、股东大会决议公告日作为上市公司非公开发行股票定价基准日的规定，明确定价基准日只能为本次非公开发行股票发行期的首日。</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证券交易所推进基础设施领域ppp项目资产证券化"/>
      <w:bookmarkEnd w:id="27"/>
      <w:r>
        <w:t xml:space="preserve">上海证券交易所推进基础设施领域PPP项目资产证券化</w:t>
      </w:r>
    </w:p>
    <w:p>
      <w:r>
        <w:t xml:space="preserve">近日，为贯彻落实《国家发展改革委、中国证监会关于推进传统基础设施领域政府和社会资本合作（PPP）项目资产证券化相关工作的通知》等文件精神，推动政府和社会资本合作（PPP）项目融资方式创新，提升服务实体经济能力，上海证券交易所发布了《关于推进传统基础设施领域政府和社会资本合作（PPP）项目资产证券化业务的通知》（以下简称《通知》）。</w:t>
      </w:r>
    </w:p>
    <w:p>
      <w:r>
        <w:t xml:space="preserve">《通知》中指出，上海证券交易所成立PPP项目资产证券化工作小组，明确专人负责落实，对于符合条件的优质PPP项目资产证券化产品建立绿色通道，提升受理、评审和挂牌转让工作效率。项目申报阶段实行即报即审，受理后5个工作日内出具反馈意见，管理人提交反馈回复确认后3个工作日内召开工作小组会议，明确是否符合挂牌要求。项目挂牌阶段专人专岗负责，提升挂牌手续办理效率。</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通报2016证监稽查专项执法行动情况"/>
      <w:bookmarkEnd w:id="30"/>
      <w:r>
        <w:t xml:space="preserve">证监会通报2016证监稽查专项执法行动情况</w:t>
      </w:r>
    </w:p>
    <w:p>
      <w:r>
        <w:t xml:space="preserve">在2015年“证监法网”行动的良好收效基础上，证监会又分别于2016年5月13日、10月21日、11月25日、12月23日，专门部署查办4类违法案件，剑指审计评估机构执业违法行为，IPO欺诈发行及信息披露违法行为，市场操纵违法行为以及利用未公开信息交易违法犯罪行为。</w:t>
      </w:r>
    </w:p>
    <w:p>
      <w:r>
        <w:t xml:space="preserve">其中，前两批案件是证监会首次针对审计评估机构违法、IPO欺诈发行及信息披露违法专门部署执法行动。两批案件的先后部署、协同推进，最大程度地实现了净化市场基础环境、提升公众公司信息披露质量、提高证券期货服务机构执业水平的效果，鲜明传递了以信息披露为中心的市场化监管理念和要求。第三批案件是2015年多批次部署打击市场操纵专项行动的有机延续，对恶性操纵持续多发高发态势起到了有效威慑、有力遏制的积极效果。第四批案件则是证监会与公安部首次联手开展专项行动，标志着证监稽查专项执法模式的进一步优化和创新。</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深圳证券交易所关于推进传统基础设施领域政府和社会资本合作ppp项目资产证券化业务的通知"/>
      <w:bookmarkEnd w:id="33"/>
      <w:r>
        <w:t xml:space="preserve">深圳证券交易所关于推进传统基础设施领域政府和社会资本合作（PPP）项目资产证券化业务的通知</w:t>
      </w:r>
    </w:p>
    <w:p>
      <w:r>
        <w:t xml:space="preserve">深圳证券交易所根据《证券公司及基金管理公司子公司资产证券化业务管理规定》、《深圳证券交易所资产证券化业务指引（2014年修订）》、《深圳证券交易所资产支持证券挂牌条件确认业务指引》等相关规定，发布了《关于推进传统基础设施领域政府和社会资本合作（PPP）项目资产证券化业务的通知》（以下简称《通知》）。</w:t>
      </w:r>
    </w:p>
    <w:p>
      <w:r>
        <w:t xml:space="preserve">《通知》中指出，深圳证券交易所鼓励支持PPP项目企业及相关中介机构依法积极开展PPP项目资产证券化业务。各相关方应勤勉尽责，严格遵守执业规范和监管要求，切实履行尽职调查、信息披露、现金流归集、收益分配和风险防控等职责，确保业务稳健运营，保障投资者利益，维护市场稳定。深圳证券交易所成立PPP项目资产证券化工作小组，明确专人落实相应职责，对于符合条件的优质PPP项目资产证券化产品，提升受理、评审和挂牌转让工作效率，实行“即报即审、专人专岗负责”。</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中国人民银行全面做好2017年金融市场和信贷政策工作"/>
      <w:bookmarkEnd w:id="36"/>
      <w:r>
        <w:t xml:space="preserve">中国人民银行：全面做好2017年金融市场和信贷政策工作</w:t>
      </w:r>
    </w:p>
    <w:p>
      <w:r>
        <w:t xml:space="preserve">近日，2017年人民银行金融市场工作会议于北京召开。会议总结了2016年人民银行系统金融市场和信贷政策工作，部署了2017年金融市场和信贷政策重点工作。人民银行党委委员、副行长潘功胜出席会议并讲话，人民银行党委委员、行长助理刘国强主持会议并作总结讲话。</w:t>
      </w:r>
    </w:p>
    <w:p>
      <w:r>
        <w:t xml:space="preserve">潘功胜提出，中央经济工作会议明确要求把防控金融风险放在更加重要的位置，要更加注重金融市场风险防控，促进金融市场长效平稳发展。要坚持市场化、法制化原则，做好债券市场风险防范和处置，加强债券市场宏观审慎管理和监管协调。扎实做好互联网金融风险专项整治，同步开展互联网金融长效机制建设，促进互联网金融健康可持续发展。加强票据市场基础设施建设和制度建设，推进票据市场规范治理。加强黄金市场建设，提高市场应对风险的能力。各金融市场自律组织和中介机构要继续加强协同配合，切实维护金融市场的安全稳定高效运行。</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外汇局跨境资金流动总体朝着均衡收敛的特征更加明显"/>
      <w:bookmarkEnd w:id="39"/>
      <w:r>
        <w:t xml:space="preserve">外汇局：跨境资金流动总体朝着均衡收敛的特征更加明显</w:t>
      </w:r>
    </w:p>
    <w:p>
      <w:r>
        <w:t xml:space="preserve">国家外汇管理局近日公布了2017年1月份银行结售汇和银行代客涉外收付款数据。国家外汇管理局新闻发言人就近期跨境资金流动情况回答了记者提问。</w:t>
      </w:r>
    </w:p>
    <w:p>
      <w:r>
        <w:t xml:space="preserve">2017年以来，我国跨境资金流出压力明显缓解。一是银行结售汇逆差收窄，二是非银行部门涉外收付款逆差下降。外汇局新闻发言人表示，当前我国跨境资金流动总体朝着均衡收敛的特征更加明显。虽然外部环境依然存在较多不确定性，容易引起国际金融市场短期波动，但不会改变我国跨境资金流动的中长期发展趋势，国内经济基本面仍是根本性的支撑因素。进入2017年后，我国经济继续运行在合理区间，1月份官方制造业采购经理人指数（PMI）连续第6个月处于“荣枯线”以上，工业生产者出厂价格指数（PPI）连续第5个月正增长，我国货物出口和进口同比均较快增长。</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银行间市场首单公募reits面世"/>
      <w:bookmarkEnd w:id="42"/>
      <w:r>
        <w:t xml:space="preserve">银行间市场首单公募REITs面世</w:t>
      </w:r>
    </w:p>
    <w:p>
      <w:r>
        <w:t xml:space="preserve">近日，兴业信托及旗下兴业国信资管联合兴业银行在银行间市场成功发行“兴业皖新阅嘉一期房地产投资信托基金（REIT）资产支持证券”（以下简称“兴业皖新REITs”），总规模为5.535亿元，这是国内首单银行间市场公募REITs。</w:t>
      </w:r>
    </w:p>
    <w:p>
      <w:r>
        <w:t xml:space="preserve">和以往的类REITs产品相比，兴业皖新REITs有两大特点：一是流通场所为银行间市场。该项目与之前的交易所类REITs产品并没有本质区别，都是将投资于房地产的基金份额作为基础资产进行证券化。之前的类REITs产品均在交易所和机构间报价系统流通，而兴业皖新REITs是目前唯一在银行间市场流通的类REITs产品；二是公募发行，目前已发行的类REITs产品主要采用私募发行，采用公募发行将有助于增强资金募集能力、提高证券的流动性。</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保险"/>
      <w:bookmarkEnd w:id="45"/>
      <w:r>
        <w:t xml:space="preserve">保险</w:t>
      </w:r>
    </w:p>
    <w:p>
      <w:pPr>
        <w:pStyle w:val="Heading3"/>
      </w:pPr>
      <w:bookmarkStart w:id="46" w:name="中国保监会全面启动保险法人机构公司治理现场评估工作"/>
      <w:bookmarkEnd w:id="46"/>
      <w:r>
        <w:t xml:space="preserve">中国保监会全面启动保险法人机构公司治理现场评估工作</w:t>
      </w:r>
    </w:p>
    <w:p>
      <w:r>
        <w:t xml:space="preserve">近日，保险法人机构公司治理现场评估工作启动会在北京召开。中国保监会副主席梁涛出席会议并作动员讲话。</w:t>
      </w:r>
    </w:p>
    <w:p>
      <w:r>
        <w:t xml:space="preserve">梁涛指出，此次保险法人机构公司治理现场评估工作，是公司治理监管启动以来首次覆盖全部中外资保险公司的全面评估，是深入贯彻中央经济工作会议和全国保险监管工作会议精神，坚决落实“保险业姓保、保监会姓监”的重要举措，是对全行业公司治理状况的一次大摸底、大体检、大排查，对于保险行业把脉诊病，全面摸清保险公司治理的现状和底数，找出其中的差距和不足，持续抓好后续整改落实，夯实公司治理结构基础，切实提升行业风险防范能力具有深刻的现实意义和历史意义。</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税收"/>
      <w:bookmarkEnd w:id="49"/>
      <w:r>
        <w:t xml:space="preserve">税收</w:t>
      </w:r>
    </w:p>
    <w:p>
      <w:pPr>
        <w:pStyle w:val="Heading3"/>
      </w:pPr>
      <w:bookmarkStart w:id="50" w:name="国家税务总局发布关于加强海关进口增值税抵扣管理的公告"/>
      <w:bookmarkEnd w:id="50"/>
      <w:r>
        <w:t xml:space="preserve">国家税务总局发布《关于加强海关进口增值税抵扣管理的公告》</w:t>
      </w:r>
    </w:p>
    <w:p>
      <w:r>
        <w:t xml:space="preserve">为保护纳税人合法权益，进一步加强增值税管理，打击利用海关进口增值税专用缴款书（以下简称“海关缴款书”）骗抵税款犯罪活动，国家税务总局发布了《关于加强海关进口增值税抵扣管理的公告》（以下简称《公告》）。</w:t>
      </w:r>
    </w:p>
    <w:p>
      <w:r>
        <w:t xml:space="preserve">《公告》中明确，增值税一般纳税人进口货物时应准确填报企业名称，确保海关缴款书上的企业名称与税务登记的企业名称一致。税务机关将进口货物取得的属于增值税抵扣范围的海关缴款书信息与海关采集的缴款信息进行稽核比对。经稽核比对相符后，海关缴款书上注明的增值税额可作为进项税额在销项税额中抵扣。稽核比对不相符，所列税额暂不得抵扣，待核查确认海关缴款书票面信息与纳税人实际进口业务一致后，海关缴款书上注明的增值税额可作为进项税额在销项税额中抵扣。</w:t>
      </w:r>
    </w:p>
    <w:p>
      <w:hyperlink r:id="rId51">
        <w:r>
          <w:rPr>
            <w:rStyle w:val="Link"/>
          </w:rPr>
          <w:t xml:space="preserve">来源</w:t>
        </w:r>
      </w:hyperlink>
      <w:r>
        <w:t xml:space="preserve"> </w:t>
      </w:r>
      <w:r>
        <w:t xml:space="preserve">(</w:t>
      </w:r>
      <w:hyperlink r:id="rId52">
        <w:r>
          <w:rPr>
            <w:rStyle w:val="Link"/>
          </w:rPr>
          <w:t xml:space="preserve">副本</w:t>
        </w:r>
      </w:hyperlink>
      <w:r>
        <w:t xml:space="preserve">) (</w:t>
      </w:r>
      <w:hyperlink r:id="rId53">
        <w:r>
          <w:rPr>
            <w:rStyle w:val="Link"/>
          </w:rPr>
          <w:t xml:space="preserve">副本</w:t>
        </w:r>
      </w:hyperlink>
      <w:r>
        <w:t xml:space="preserve">)</w:t>
      </w:r>
    </w:p>
    <w:p>
      <w:pPr>
        <w:pStyle w:val="Heading2"/>
      </w:pPr>
      <w:bookmarkStart w:id="54" w:name="知识产权"/>
      <w:bookmarkEnd w:id="54"/>
      <w:r>
        <w:t xml:space="preserve">知识产权</w:t>
      </w:r>
    </w:p>
    <w:p>
      <w:pPr>
        <w:pStyle w:val="Heading3"/>
      </w:pPr>
      <w:bookmarkStart w:id="55" w:name="版权工作十三五规划出台剑指网络盗版顽疾"/>
      <w:bookmarkEnd w:id="55"/>
      <w:r>
        <w:t xml:space="preserve">《版权工作“十三五”规划》出台，剑指网络盗版顽疾</w:t>
      </w:r>
    </w:p>
    <w:p>
      <w:r>
        <w:t xml:space="preserve">日前，国家新闻出版广电总局官网发布了“关于印发《版权工作“十三五”规划》的通知”（以下简称《规划》）。《规划》提出了26项重点任务，其中包括了颇受关注的“突出网络领域版权监管”方面。</w:t>
      </w:r>
    </w:p>
    <w:p>
      <w:r>
        <w:t xml:space="preserve">《规划》从完善版权法律制度体系、完善版权行政管理体系、完善版权社会服务体系、完善版权涉外工作体系等4个方面提出了26项重点任务。其中提到，要将网络作为履行版权监管职责的重要阵地，不断净化网络版权环境。持续开展打击网络侵权盗版“剑网行动”，强化分类管理，加强对网络文学、音乐、影视、动漫等重点领域的监测监管，及时发现和查处侵权盗版行为。</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行业"/>
      <w:bookmarkEnd w:id="58"/>
      <w:r>
        <w:t xml:space="preserve">行业</w:t>
      </w:r>
    </w:p>
    <w:p>
      <w:pPr>
        <w:pStyle w:val="Heading3"/>
      </w:pPr>
      <w:bookmarkStart w:id="59" w:name="八部门印发意见扩大国有土地有偿使用范围"/>
      <w:bookmarkEnd w:id="59"/>
      <w:r>
        <w:t xml:space="preserve">八部门印发意见：扩大国有土地有偿使用范围</w:t>
      </w:r>
    </w:p>
    <w:p>
      <w:r>
        <w:t xml:space="preserve">近日，国土资源部、发改委、财政部、住建部等八部门联合印发了《关于扩大国有土地有偿使用范围的意见》（以下简称《意见》）。意见提出，进一步深化国有土地使用和管理制度改革，促进国有土地资源全面节约集约利用，更好支撑和保障经济社会健康发展。</w:t>
      </w:r>
    </w:p>
    <w:p>
      <w:r>
        <w:t xml:space="preserve">《意见》明确，适应投融资体制改革要求，对可以使用划拨土地的相关公共服务项目，除可按划拨方式供应土地外，在自愿前提下，鼓励以出让、租赁方式供应土地，支持以作价出资或者入股的方式提供土地，使项目拥有完整土地产权，增加其资产总量和融资能力。</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北京市政府行政机关无人出庭将追责"/>
      <w:bookmarkEnd w:id="62"/>
      <w:r>
        <w:t xml:space="preserve">北京市政府：行政机关无人出庭将追责</w:t>
      </w:r>
    </w:p>
    <w:p>
      <w:r>
        <w:t xml:space="preserve">北京市政府办公厅近日印发了《关于加强和改进行政应诉工作的实施意见》（以下简称《意见》），要求各区、各部门要高度重视，做好行政应诉工作。在“民告官”案件中，被诉行政机关负责人不出庭应诉也不委托相应的工作人员出庭，将由任免机关或者监察机关依照相关规定，对相关责任人员严肃处理。</w:t>
      </w:r>
    </w:p>
    <w:p>
      <w:r>
        <w:t xml:space="preserve">《意见》明确规定，做好行政应诉工作是行政机关的法定职责。被诉行政机关负责人要带头履行出庭应诉职责。不能出庭的，应当委托相应的工作人员出庭，不得仅委托律师出庭。对涉及重大公共利益、社会高度关注或者可能引发群体性事件等的案件以及人民法院书面建议行政机关负责人出庭的案件，被诉行政机关负责人应当出庭。</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并购"/>
      <w:bookmarkEnd w:id="65"/>
      <w:r>
        <w:t xml:space="preserve">并购</w:t>
      </w:r>
    </w:p>
    <w:p>
      <w:pPr>
        <w:pStyle w:val="Heading3"/>
      </w:pPr>
      <w:bookmarkStart w:id="66" w:name="天业股份拟收购澳洲矿业公司"/>
      <w:bookmarkEnd w:id="66"/>
      <w:r>
        <w:t xml:space="preserve">天业股份拟收购澳洲矿业公司</w:t>
      </w:r>
    </w:p>
    <w:p>
      <w:r>
        <w:t xml:space="preserve">山东天业恒基股份有限公司（以下简称“天业股份”）近日发布公告称，公司与天业集团就本次重大资产重组事项签署《关于Hanking Australia Pty Ltd（罕王澳大利亚有限公司，以下简称“罕王澳洲”）之股权收购意向协议》。公司拟采取发行股份、支付现金等方式收购天业集团直接或间接持有的罕王澳洲 100%股权。具体交易方式由双方在签署正式协议时确认。</w:t>
      </w:r>
    </w:p>
    <w:p>
      <w:r>
        <w:t xml:space="preserve">该协议显示，天业集团已就罕王澳洲股权转让事项，同罕王澳洲原股东签署相关股份转让协议，天业集团将直接或间接持有或控制罕王澳洲100%股权。天业集团承诺其与公司签署正式股权收购协议之前，将合法取得或控制罕王澳洲股权，并完成罕王澳洲登记至天业集团或其控制的指定公司名下的全部工商登记变更手续，且罕王澳洲股权不存在任何争议纠纷。</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阿里巴巴集团牵手百联集团"/>
      <w:bookmarkEnd w:id="69"/>
      <w:r>
        <w:t xml:space="preserve">阿里巴巴集团牵手百联集团</w:t>
      </w:r>
    </w:p>
    <w:p>
      <w:r>
        <w:t xml:space="preserve">近日，阿里巴巴集团和百联集团在上海宣布达成战略合作，双方将基于大数据和互联网技术，在全业态融合创新等六个领域展开全方位合作。</w:t>
      </w:r>
    </w:p>
    <w:p>
      <w:r>
        <w:t xml:space="preserve">阿里巴巴集团董事局主席马云表示，“2017年是阿里巴巴新零售元年，新零售的第一个战略合作伙伴我们选择了上海百联集团。过去8个月双方秘密谈判很多次，双方的互补性很强。”确实如马云所言，阿里巴巴与百联此前早有接触。2016年末，阿里系投资的易果生鲜“接手”了永辉超市出售的2.37亿股联华超市股份，成为联华超市的二股东。而百联集团正是联华超市的控股股东，其通过百联股份和百联有限公司合计持有联华超市42.73%的股权。</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深圳惠程拟收购群立世纪和哆可梦两公司股权"/>
      <w:bookmarkEnd w:id="72"/>
      <w:r>
        <w:t xml:space="preserve">深圳惠程拟收购群立世纪和哆可梦两公司股权</w:t>
      </w:r>
    </w:p>
    <w:p>
      <w:r>
        <w:t xml:space="preserve">已经停牌1个月的深圳市惠程电气股份有限公司（以下简称“深圳惠程”）于2017年2月19日晚间公告了重大资产重组的进展，公司拟购买群立世纪55%股权、哆可梦77.57%股权。深圳惠程称，由于此次重大资产重组涉及的工作量较大，申请继续停牌不超过1个月。</w:t>
      </w:r>
    </w:p>
    <w:p>
      <w:r>
        <w:t xml:space="preserve">深圳惠程此前已通过产业并购基金收购群立世纪45%股权、哆可梦22.43%股权。因此，深圳惠程此次重组是对两标的剩余股权的继续收购。根据此前交易，群立世纪100%股权估值10.5亿元，哆可梦100%股权估值17.83亿元。如以此计算，深圳惠程此次重大资产重组的交易对价约为19.6亿元。</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第532期 - 2017年02月24日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268c29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32/"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3" Target="9a.pdf" TargetMode="External" /><Relationship Type="http://schemas.openxmlformats.org/officeDocument/2006/relationships/hyperlink" Id="rId73" Target="http://company.stcn.com/2017/0220/13057114.shtml" TargetMode="External" /><Relationship Type="http://schemas.openxmlformats.org/officeDocument/2006/relationships/hyperlink" Id="rId70" Target="http://company.stcn.com/2017/0221/13059243.shtml" TargetMode="External" /><Relationship Type="http://schemas.openxmlformats.org/officeDocument/2006/relationships/hyperlink" Id="rId67" Target="http://company.stcn.com/2017/0221/13059256.shtml" TargetMode="External" /><Relationship Type="http://schemas.openxmlformats.org/officeDocument/2006/relationships/hyperlink" Id="rId60" Target="http://politics.people.com.cn/n1/2017/0208/c1001-29064533.html" TargetMode="External" /><Relationship Type="http://schemas.openxmlformats.org/officeDocument/2006/relationships/hyperlink" Id="rId40" Target="http://www.chinaforex.com.cn/index.php/cms/item-view-id-42503.shtml" TargetMode="External" /><Relationship Type="http://schemas.openxmlformats.org/officeDocument/2006/relationships/hyperlink" Id="rId56" Target="http://www.chinalawinfo.com/News/NewsFullText.aspx?NewsId=84498&amp;NewsType=1" TargetMode="External" /><Relationship Type="http://schemas.openxmlformats.org/officeDocument/2006/relationships/hyperlink" Id="rId63" Target="http://www.chinalawinfo.com/News/NewsFullText.aspx?NewsId=84516&amp;NewsType=1" TargetMode="External" /><Relationship Type="http://schemas.openxmlformats.org/officeDocument/2006/relationships/hyperlink" Id="rId51" Target="http://www.chinatax.gov.cn/n810341/n810755/c2477981/content.html" TargetMode="External" /><Relationship Type="http://schemas.openxmlformats.org/officeDocument/2006/relationships/hyperlink" Id="rId47" Target="http://www.circ.gov.cn/web/site0/tab5168/info4059808.htm" TargetMode="External" /><Relationship Type="http://schemas.openxmlformats.org/officeDocument/2006/relationships/hyperlink" Id="rId25" Target="http://www.csrc.gov.cn/pub/newsite/zjhxwfb/xwdd/201702/t20170217_312363.html" TargetMode="External" /><Relationship Type="http://schemas.openxmlformats.org/officeDocument/2006/relationships/hyperlink" Id="rId31" Target="http://www.csrc.gov.cn/pub/newsite/zjhxwfb/xwdd/201702/t20170217_312364.html" TargetMode="External" /><Relationship Type="http://schemas.openxmlformats.org/officeDocument/2006/relationships/hyperlink" Id="rId37" Target="http://www.pbc.gov.cn/goutongjiaoliu/113456/113469/3254774/index.html" TargetMode="External" /><Relationship Type="http://schemas.openxmlformats.org/officeDocument/2006/relationships/hyperlink" Id="rId28" Target="http://www.sse.com.cn/aboutus/mediacenter/hotandd/c/c_20170217_4238429.shtml" TargetMode="External" /><Relationship Type="http://schemas.openxmlformats.org/officeDocument/2006/relationships/hyperlink" Id="rId43" Target="http://www.stcn.com/2017/0221/13059028.shtml" TargetMode="External" /><Relationship Type="http://schemas.openxmlformats.org/officeDocument/2006/relationships/hyperlink" Id="rId34" Target="http://www.szse.cn/main/rule/bsywgz/39765495.s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32/"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3" Target="9a.pdf" TargetMode="External" /><Relationship Type="http://schemas.openxmlformats.org/officeDocument/2006/relationships/hyperlink" Id="rId73" Target="http://company.stcn.com/2017/0220/13057114.shtml" TargetMode="External" /><Relationship Type="http://schemas.openxmlformats.org/officeDocument/2006/relationships/hyperlink" Id="rId70" Target="http://company.stcn.com/2017/0221/13059243.shtml" TargetMode="External" /><Relationship Type="http://schemas.openxmlformats.org/officeDocument/2006/relationships/hyperlink" Id="rId67" Target="http://company.stcn.com/2017/0221/13059256.shtml" TargetMode="External" /><Relationship Type="http://schemas.openxmlformats.org/officeDocument/2006/relationships/hyperlink" Id="rId60" Target="http://politics.people.com.cn/n1/2017/0208/c1001-29064533.html" TargetMode="External" /><Relationship Type="http://schemas.openxmlformats.org/officeDocument/2006/relationships/hyperlink" Id="rId40" Target="http://www.chinaforex.com.cn/index.php/cms/item-view-id-42503.shtml" TargetMode="External" /><Relationship Type="http://schemas.openxmlformats.org/officeDocument/2006/relationships/hyperlink" Id="rId56" Target="http://www.chinalawinfo.com/News/NewsFullText.aspx?NewsId=84498&amp;NewsType=1" TargetMode="External" /><Relationship Type="http://schemas.openxmlformats.org/officeDocument/2006/relationships/hyperlink" Id="rId63" Target="http://www.chinalawinfo.com/News/NewsFullText.aspx?NewsId=84516&amp;NewsType=1" TargetMode="External" /><Relationship Type="http://schemas.openxmlformats.org/officeDocument/2006/relationships/hyperlink" Id="rId51" Target="http://www.chinatax.gov.cn/n810341/n810755/c2477981/content.html" TargetMode="External" /><Relationship Type="http://schemas.openxmlformats.org/officeDocument/2006/relationships/hyperlink" Id="rId47" Target="http://www.circ.gov.cn/web/site0/tab5168/info4059808.htm" TargetMode="External" /><Relationship Type="http://schemas.openxmlformats.org/officeDocument/2006/relationships/hyperlink" Id="rId25" Target="http://www.csrc.gov.cn/pub/newsite/zjhxwfb/xwdd/201702/t20170217_312363.html" TargetMode="External" /><Relationship Type="http://schemas.openxmlformats.org/officeDocument/2006/relationships/hyperlink" Id="rId31" Target="http://www.csrc.gov.cn/pub/newsite/zjhxwfb/xwdd/201702/t20170217_312364.html" TargetMode="External" /><Relationship Type="http://schemas.openxmlformats.org/officeDocument/2006/relationships/hyperlink" Id="rId37" Target="http://www.pbc.gov.cn/goutongjiaoliu/113456/113469/3254774/index.html" TargetMode="External" /><Relationship Type="http://schemas.openxmlformats.org/officeDocument/2006/relationships/hyperlink" Id="rId28" Target="http://www.sse.com.cn/aboutus/mediacenter/hotandd/c/c_20170217_4238429.shtml" TargetMode="External" /><Relationship Type="http://schemas.openxmlformats.org/officeDocument/2006/relationships/hyperlink" Id="rId43" Target="http://www.stcn.com/2017/0221/13059028.shtml" TargetMode="External" /><Relationship Type="http://schemas.openxmlformats.org/officeDocument/2006/relationships/hyperlink" Id="rId34" Target="http://www.szse.cn/main/rule/bsywgz/39765495.s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第532期 - 2017年02月24日</dc:title>
  <dc:creator/>
</cp:coreProperties>
</file>