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第533期</w:t>
      </w:r>
      <w:r>
        <w:t xml:space="preserve"> </w:t>
      </w:r>
      <w:r>
        <w:t xml:space="preserve">-</w:t>
      </w:r>
      <w:r>
        <w:t xml:space="preserve"> </w:t>
      </w:r>
      <w:r>
        <w:t xml:space="preserve">2017年03月03日</w:t>
      </w:r>
    </w:p>
    <w:p>
      <w:hyperlink r:id="rId21">
        <w:r>
          <w:rPr>
            <w:rStyle w:val="Link"/>
          </w:rPr>
          <w:t xml:space="preserve">网络版</w:t>
        </w:r>
      </w:hyperlink>
    </w:p>
    <w:p>
      <w:pPr>
        <w:pStyle w:val="Heading1"/>
      </w:pPr>
      <w:bookmarkStart w:id="22" w:name="中国银监会发布网络借贷资金存管业务指引"/>
      <w:bookmarkEnd w:id="22"/>
      <w:r>
        <w:t xml:space="preserve">中国银监会发布《网络借贷资金存管业务指引》</w:t>
      </w:r>
    </w:p>
    <w:p>
      <w:pPr>
        <w:pStyle w:val="Heading2"/>
      </w:pPr>
      <w:bookmarkStart w:id="23" w:name="资本市场"/>
      <w:bookmarkEnd w:id="23"/>
      <w:r>
        <w:t xml:space="preserve">资本市场</w:t>
      </w:r>
    </w:p>
    <w:p>
      <w:pPr>
        <w:pStyle w:val="Heading3"/>
      </w:pPr>
      <w:bookmarkStart w:id="24" w:name="中国银监会发布网络借贷资金存管业务指引-1"/>
      <w:bookmarkEnd w:id="24"/>
      <w:r>
        <w:t xml:space="preserve">中国银监会发布《网络借贷资金存管业务指引》</w:t>
      </w:r>
    </w:p>
    <w:p>
      <w:r>
        <w:t xml:space="preserve">为规范网贷行业健康发展，防范P2P网贷资金挪用风险，根据《关于促进互联网金融健康发展的指导意见》和《网络借贷信息中介机构业务活动管理暂行办法》明确的总体要求和基本原则，银监会近日发布《网络借贷资金存管业务指引》（以下简称《指引》）。</w:t>
      </w:r>
    </w:p>
    <w:p>
      <w:r>
        <w:t xml:space="preserve">《指引》明确了网贷资金存管业务各方的职责义务，商业银行作为存管人履行授权保管和划转客户资金等资金存管职责，内容主要包括业务审查、账户开立、清算支付、账户核对、存管报告、档案保管、资金监督等方面；网贷机构作为委托人主要在系统开发、信息披露、数据提供、客户服务等方面履行职责。另外，《指引》明确了存管业务的三大基本原则：一是分账管理。商业银行为网贷机构提供资金存管服务，对网贷机构自有资金、存管资金分开保管、分账核算；二是依令行事。存管资金的清算支付以及资金进出等环节，需经出借人、借款人的指令或授权；三是账务核对。银行和网贷机构每日进行账务核对，保证账实相符，同时规定每笔资金流转有明细记录，妥善保管相应数据信息，确保有据可查。</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人民银行将为境外投资者提供更友好便利投资环境"/>
      <w:bookmarkEnd w:id="27"/>
      <w:r>
        <w:t xml:space="preserve">中国人民银行：将为境外投资者提供更友好便利投资环境</w:t>
      </w:r>
    </w:p>
    <w:p>
      <w:r>
        <w:t xml:space="preserve">近日，中国人民银行副行长潘功胜在北京会见了来访的彭博公司全球执行副总裁Jean-Paul Zammitt先生一行，双方就中国债券市场对外开放有关问题交换了意见。</w:t>
      </w:r>
    </w:p>
    <w:p>
      <w:r>
        <w:t xml:space="preserve">潘功胜表示，目前境外投资者投资占全市场比重约1.2%，还有很大增长潜力，将中国债券市场纳入国际主要债券指数，可以更准确地反映全球债券市场整体状况，有利于全球投资者更合理地配置债券资产，人民银行对此表示欢迎和支持，下一步，人民银行将继续积极推进完善各项配套政策安排，为境外投资者提供更加友好、便利的投资环境。</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就行政许可实施程序规定公开征求意见"/>
      <w:bookmarkEnd w:id="30"/>
      <w:r>
        <w:t xml:space="preserve">中国证监会就行政许可实施程序规定公开征求意见</w:t>
      </w:r>
    </w:p>
    <w:p>
      <w:r>
        <w:t xml:space="preserve">为了完善证券中介机构被立案稽查与行政许可申请挂钩机制政策，证监会拟对《中国证券监督管理委员会行政许可实施程序规定》进行修改，并就此向社会公开征求意见。</w:t>
      </w:r>
    </w:p>
    <w:p>
      <w:r>
        <w:t xml:space="preserve">证监会表示，《行政许可实施程序规定》的修改严格贯彻落实了“依法、全面、从严”的监管理念，强化证券中介机构的主体责任意识，督促其勤勉尽责，进一步发挥好核查把关作用，同时也把握好与“持续服务”之间的平衡关系，注意恰当处理涉案证券中介机构与非涉案行政许可申请人、涉嫌违法违规业务与其他业务、涉案证券中介机构中机构责任与个人责任等几组关系。</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港交所正酝酿互联互通优化措施"/>
      <w:bookmarkEnd w:id="33"/>
      <w:r>
        <w:t xml:space="preserve">港交所正酝酿互联互通优化措施</w:t>
      </w:r>
    </w:p>
    <w:p>
      <w:r>
        <w:t xml:space="preserve">香港交易所近日发布2016年年报。报告显示，2016年港交所实现收入111.16亿港元，同比下滑17%，净利润57.69亿港元，同比下降27%。港交所表示，尽管2016年经营环境困难，但集团在实现战略目标方面仍有良好进展。比如深港通在2016年12月初正式开通便是一项重大的工作成果，与此同时，香港交易所已优化其监察系统，促进与深交所的合作，强化深港通推出后的交投活动监察工作；2016年，香港交易所还推进了大宗商品战略中一项很重要的新业务计划——在前海深港现代服务业合作区建立内地大宗商品交易平台，目前该平台的筹备工作现正密锣紧鼓地进行。</w:t>
      </w:r>
    </w:p>
    <w:p>
      <w:r>
        <w:t xml:space="preserve">港交所进一步表示，将与内地交易所共同努力，将交易所买卖基金纳入互联互通机制合资格证券。除此以外，香港与内地交易所及结算公司亦正与内地监管机构紧密合作，希望可以落实沪深港通的假日安排以及其他交易优化措施，为投资者提供更多市场服务和便利。港交所还计划升级互联互通模式，将其延伸至其他资产类别，如大宗商品、债券等。另外，港交所在2017年首季将会推出人民币货币期权，为投资者在买卖策略上提供更多选择。</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国家外汇局进一步开放银行间债券市场"/>
      <w:bookmarkEnd w:id="36"/>
      <w:r>
        <w:t xml:space="preserve">国家外汇局：进一步开放银行间债券市场</w:t>
      </w:r>
    </w:p>
    <w:p>
      <w:r>
        <w:t xml:space="preserve">日前，国家外汇管理局发布通知称，将进一步开放银行间债券市场和外汇市场，允许银行间债券市场境外机构投资者在具备资格的境内金融机构办理人民币对外汇衍生品业务。</w:t>
      </w:r>
    </w:p>
    <w:p>
      <w:r>
        <w:t xml:space="preserve">外汇局在通知中表示，境外机构投资者的外汇衍生品业务须遵守实需交易原则，限于对冲以境外汇入资金投资银行间债券市场产生的外汇风险敞口。同时，考虑目前境外央行类机构已有多种渠道参与境内外汇市场，因此境外机构投资者的范围不包括境外央行类机构。外汇局称，为了对冲投资银行间债券市场产生的外汇风险敞口，境外机构投资者可以自主选择办理远期、外汇掉期、货币掉期和期权等规定的人民币对外汇衍生品，在国内外汇市场已有的衍生品类型内不作交易品种限制。</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顺丰控股通过并购重组登陆深圳证券交易所"/>
      <w:bookmarkEnd w:id="39"/>
      <w:r>
        <w:t xml:space="preserve">顺丰控股通过并购重组登陆深圳证券交易所</w:t>
      </w:r>
    </w:p>
    <w:p>
      <w:r>
        <w:t xml:space="preserve">近日顺丰控股正式亮相资本市场，实现了公司成长道路上的华丽转身，翻开了公司发展历程中的崭新篇章。顺丰控股通过23年的艰辛努力，已成长为中国快递行业的龙头企业，市场占有率行业第一，盈利规模行业第一。2016年，公司实现营业收入575亿元，净利润42亿元。</w:t>
      </w:r>
    </w:p>
    <w:p>
      <w:r>
        <w:t xml:space="preserve">本次顺丰控股通过重组上市登陆的中小企业板是以服务中小企业为使命的市场，是多层次资本市场建设中承前启后的重要力量。中小企业板大力支持上市公司通过再融资、市场化并购重组等多种方式持续提升核心竞争力，培育出海康威视、比亚迪、苏宁云商、金风科技、科大讯飞、歌尔股份等一批立足主业、做优做强的行业领军企业。顺丰控股总市值已突破2300亿元，成为深市第一大市值公司。</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深圳证券交易所持续优化业务规则建设夯实一线监管制度基础"/>
      <w:bookmarkEnd w:id="42"/>
      <w:r>
        <w:t xml:space="preserve">深圳证券交易所持续优化业务规则建设，夯实一线监管制度基础</w:t>
      </w:r>
    </w:p>
    <w:p>
      <w:r>
        <w:t xml:space="preserve">近日，深交所完成了第十二次业务规则清理工作，并向市场发布了第八批废止业务规则目录，废止业务规则20件，包括已被修订、上位法规依据已废止以及因业务发展不再适用应予废止等情形。本次清理后，现行有效业务规则共161件。</w:t>
      </w:r>
    </w:p>
    <w:p>
      <w:r>
        <w:t xml:space="preserve">业务规则是交易所筑牢市场稳定防线的基石和切实履行依法全面从严监管的基础依据。深交所一直致力于构建内容透明、层次清晰、形式统一、适应多层次业务发展的业务规则体系。刘士余主席在2017年全国证券期货监管工作会议上反复强调交易所要切实发挥一线监管职能，将防范市场风险作为工作的重中之重。2017年，面对资本市场运行内外环境更趋复杂的新局面，深交所将继续完善业务规则制定、修订、清理评估工作的长效机制，不断增强业务规则的前瞻性、协调性和透明度，为交易所更好地履行一线监管职能夯实制度基础。</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保险"/>
      <w:bookmarkEnd w:id="45"/>
      <w:r>
        <w:t xml:space="preserve">保险</w:t>
      </w:r>
    </w:p>
    <w:p>
      <w:pPr>
        <w:pStyle w:val="Heading3"/>
      </w:pPr>
      <w:bookmarkStart w:id="46" w:name="保监会重拳出击前海人寿和恒大人寿两家险企被罚"/>
      <w:bookmarkEnd w:id="46"/>
      <w:r>
        <w:t xml:space="preserve">保监会重拳出击，前海人寿和恒大人寿两家险企被罚</w:t>
      </w:r>
    </w:p>
    <w:p>
      <w:r>
        <w:t xml:space="preserve">近日，保监会相继公布两份“处罚书”，分别针对前海人寿、恒大人寿进行相应行政处罚。其中，前海人寿被处以80万罚款，时任董事长的姚振华被撤销任职资格并禁入保险业10年，另有多名责任人被处罚和罚款；恒大人寿被限制股票投资一年，两名责任人分别被行业禁入五年和三年。</w:t>
      </w:r>
    </w:p>
    <w:p>
      <w:r>
        <w:t xml:space="preserve">2016年12月，保监会派出检查组对恒大人寿开展现场检查，发现该公司存在未按监管规定开展股票委托投资业务、投资内控管理薄弱等问题。2017年2月24日，保监会根据现场检查中发现的违法违规问题，公布了对前海人寿及相关责任人行政处罚结果。经查，前海人寿主要存在编制提供虚假材料、违规运用保险资金等问题。保监会表示，保监会将依法合规、积极稳妥推进前海人寿股权、公司治理等问题的后续处置工作，督促公司规范运营管理，优化治理结构，尽快重回稳健运行轨道。</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税收"/>
      <w:bookmarkEnd w:id="49"/>
      <w:r>
        <w:t xml:space="preserve">税收</w:t>
      </w:r>
    </w:p>
    <w:p>
      <w:pPr>
        <w:pStyle w:val="Heading3"/>
      </w:pPr>
      <w:bookmarkStart w:id="50" w:name="中国拟修改企业所得税法部分条款"/>
      <w:bookmarkEnd w:id="50"/>
      <w:r>
        <w:t xml:space="preserve">中国拟修改企业所得税法部分条款</w:t>
      </w:r>
    </w:p>
    <w:p>
      <w:r>
        <w:t xml:space="preserve">近日，中国企业所得税法修正案(草案)提请全国人大常委会审议，拟修改企业所得税法部分条款。</w:t>
      </w:r>
    </w:p>
    <w:p>
      <w:r>
        <w:t xml:space="preserve">现行企业所得税法第九条规定：企业发生的公益性捐赠支出，在年度利润总额12%以内的部分，准予在计算应纳税所得额时扣除。即对于超过年度利润总额12%的部分，不准当年在计算应纳税所得额时扣除，也没有规定可以结转以后年度扣除，而修正案草案拟将现行企业所得税法第九条修改为：“企业发生的公益性捐赠支出，在年度利润总额12%以内的部分，准予在计算应纳税所得额时扣除；超过年度利润总额12%的部分，准予结转以后三年内在计算应纳税所得额时扣除。”全国人大财政经济委员会认为，修正案草案实现了企业所得税法与慈善法相关规定的有效衔接。</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最高人民法院修订发布关于人民法院庭审录音录像的若干规定"/>
      <w:bookmarkEnd w:id="54"/>
      <w:r>
        <w:t xml:space="preserve">最高人民法院修订发布《关于人民法院庭审录音录像的若干规定》</w:t>
      </w:r>
    </w:p>
    <w:p>
      <w:r>
        <w:t xml:space="preserve">为保障诉讼参与人的诉讼权利，规范庭审活动、促进司法公正，最高人民法院近日修订印发《最高人民法院关于庭审活动录音录像的若干规定》（以下简称《若干规定》）。</w:t>
      </w:r>
    </w:p>
    <w:p>
      <w:r>
        <w:t xml:space="preserve">《若干规定》全文共19条。《若干规定》一是立足于人民法院信息化建设所取得的阶段性成果，注重引入现代技术手段应用于审判工作中，从庭审录音录像的硬件配置、录制、存储、管理、使用等方面，借助信息技术的强大优势，充分提升审判质效；二是将智能语音识别技术引入庭审记录，赋予这一新技术成果的法律效力；三是使用庭审录音录像替代适用简易程序审理的民事案件的法庭笔录，实现庭审记录改革的重大突破，有利于优化司法资源配置、提升审判质效。</w:t>
      </w:r>
    </w:p>
    <w:p>
      <w:hyperlink r:id="rId55">
        <w:r>
          <w:rPr>
            <w:rStyle w:val="Link"/>
          </w:rPr>
          <w:t xml:space="preserve">来源</w:t>
        </w:r>
      </w:hyperlink>
      <w:r>
        <w:t xml:space="preserve"> </w:t>
      </w:r>
      <w:r>
        <w:t xml:space="preserve">(</w:t>
      </w:r>
      <w:hyperlink r:id="rId56">
        <w:r>
          <w:rPr>
            <w:rStyle w:val="Link"/>
          </w:rPr>
          <w:t xml:space="preserve">副本</w:t>
        </w:r>
      </w:hyperlink>
      <w:r>
        <w:t xml:space="preserve">) (</w:t>
      </w:r>
      <w:hyperlink r:id="rId57">
        <w:r>
          <w:rPr>
            <w:rStyle w:val="Link"/>
          </w:rPr>
          <w:t xml:space="preserve">副本</w:t>
        </w:r>
      </w:hyperlink>
      <w:r>
        <w:t xml:space="preserve">)</w:t>
      </w:r>
    </w:p>
    <w:p>
      <w:pPr>
        <w:pStyle w:val="Heading3"/>
      </w:pPr>
      <w:bookmarkStart w:id="58" w:name="上海市法院公布上海法院网络司法拍卖实施细则试行"/>
      <w:bookmarkEnd w:id="58"/>
      <w:r>
        <w:t xml:space="preserve">上海市法院公布《上海法院网络司法拍卖实施细则（试行）》</w:t>
      </w:r>
    </w:p>
    <w:p>
      <w:r>
        <w:t xml:space="preserve">上海市高级人民法院近日召开新闻发布会，向社会公布《上海法院网络司法拍卖实施细则（试行）》（以下简称《实施细则》），同时宣布上海全市法院将从2017年3月1日起按照新的规定和要求进一步推进网络司法在线拍卖。</w:t>
      </w:r>
    </w:p>
    <w:p>
      <w:r>
        <w:t xml:space="preserve">《实施细则》共分25条，涉及坚持公开公正、坚持当事人自愿、坚持执拍分离等六大原则，网络司法拍卖工作中的职责分工、操作流程，法院可委托辅助机构完成的工作类型，拍卖标的物的底价确定，符合暂缓或裁定中止拍卖的情形，监督考核工作如何开展等内容。</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国务院办公厅印发关于促进建筑业持续健康发展的意见"/>
      <w:bookmarkEnd w:id="61"/>
      <w:r>
        <w:t xml:space="preserve">国务院办公厅印发《关于促进建筑业持续健康发展的意见》</w:t>
      </w:r>
    </w:p>
    <w:p>
      <w:r>
        <w:t xml:space="preserve">为进一步深化建筑业“放管服”改革，加快产业升级，促进建筑业持续健康发展，近日，国务院办公厅印发《关于促进建筑业持续健康发展的意见》（以下简称《意见》）。</w:t>
      </w:r>
    </w:p>
    <w:p>
      <w:r>
        <w:t xml:space="preserve">《意见》从七个方面对促进建筑业持续健康发展提出具体措施。一是深化建筑业简政放权改革，优化资质资格管理，强化个人执业资格制度。二是完善工程建设组织模式，加快推行工程总承包，发挥建筑师的主导作用。三是加强工程质量安全管理，全面落实各方主体的责任，强化政府对工程质量安全的监管。四是优化建筑市场环境，建立统一开放的建筑市场，健全建筑市场信用体系。五是提高从业人员素质，加快培养建筑人才，改革建筑用工制度，大力发展以作业为主的专业企业。六是推进建筑产业现代化，大力推广智能和装配式建筑，推动建造方式创新。七是加快建筑业企业“走出去”，加强中外标准衔接，提高对外承包能力，鼓励建筑企业积极有序开拓国际市场。</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三胞集团设并购基金控股凡迪生物"/>
      <w:bookmarkEnd w:id="65"/>
      <w:r>
        <w:t xml:space="preserve">三胞集团设并购基金控股凡迪生物</w:t>
      </w:r>
    </w:p>
    <w:p>
      <w:r>
        <w:t xml:space="preserve">近日，三胞集团在其南京总部召开凡迪生物项目新闻发布会，正式宣布对上海凡迪生物科技有限公司（以下简称“凡迪生物”）的收购，这一收购也被认为是三胞集团布局大健康领域的又一步棋。据悉，该收购是迄今为止国内基因检测行业金额更大的一笔收购案。</w:t>
      </w:r>
    </w:p>
    <w:p>
      <w:r>
        <w:t xml:space="preserve">三胞集团旗下的南京投资管理有限公司、南京盈鹏资产管理有限公司、南京新百，以及北京东富汇通投资管理中心（有限合伙）、天津东富育康企业管理咨询中心（有限合伙）等相关方宣布，共同发起设立6.8亿元医疗并购基金——盈鹏蕙莲并购基金，据了解，该基金设立的主要目的是收购凡迪生物控股权。此外，三胞新消费板块产生的巨大消费客户数据，可为凡迪生物精准营销提供大数据支持。而凡迪生物的客户群，可为三胞旗下全渠道健康美丽产品与服务提供商麦考林导入孕期保健品客流。</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广生堂与国药控股合作应对药品流通两票制"/>
      <w:bookmarkEnd w:id="68"/>
      <w:r>
        <w:t xml:space="preserve">广生堂与国药控股合作，应对药品流通“两票制”</w:t>
      </w:r>
    </w:p>
    <w:p>
      <w:r>
        <w:t xml:space="preserve">福建广生堂药业股份有限公司（以下简称“广生堂”）于2017年2月26日晚公告称，公司近日与国药控股股份有限公司（以下简称“国药控股”）签订了战略合作协议，以国药控股互联互通平台为依托，统谈分采模式为基础，第三方物流及多仓运营资质为载体，进行战略资源的全面对接。</w:t>
      </w:r>
    </w:p>
    <w:p>
      <w:r>
        <w:t xml:space="preserve">根据协议，广生堂向国药控股提供自行生产的符合国家质量标准的医药产品，委托其所属子公司进行区域经销或代理销售，并使其所属子公司逐渐成为广生堂一级经销商；广生堂借助国药控股全国健全的分销网络和物流配送平台，优先确保直销医院、零售终端或经一次商业分销到达销售终端，从而减少营销环节和降低成本，保障产品顺畅销售。公司表示，这是广生堂积极应对药品流通环节“两票制”政策趋势，推动企业销售模式转型升级的重要举措。</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中国人寿与百度签署战略合作协议"/>
      <w:bookmarkEnd w:id="71"/>
      <w:r>
        <w:t xml:space="preserve">中国人寿与百度签署战略合作协议</w:t>
      </w:r>
    </w:p>
    <w:p>
      <w:r>
        <w:t xml:space="preserve">2017年2月27日，中国人寿与百度集团在广发金融中心举行了战略合作协议签约仪式。此次中国人寿与百度集团的战略合作，是资本与技术的强强联合，双方充分发挥自身优势，通过在平台、数据、智能等方面开展交流与合作，相信将开启金融保险行业与互联网智能科技行业在传统金融业务、人工智能领域、互联网金融领域合作的新篇章。</w:t>
      </w:r>
    </w:p>
    <w:p>
      <w:r>
        <w:t xml:space="preserve">目前双方已就人工智能、机器人、智能投顾等方面进行了多次接洽，根据战略合作协议，双方未来将在人工智能、大数据、云计算、车联网等技术领域，金融平台、品牌宣传与推广、投融资、保险银行及企业年金业务、培训交流等领域开展多层次合作，并将进一步探讨共同成立泛互联网基金等相关领域事宜。</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4">
        <w:r>
          <w:rPr>
            <w:rStyle w:val="Link"/>
          </w:rPr>
          <w:t xml:space="preserve">unsubscribe@charltonslaw.com</w:t>
        </w:r>
      </w:hyperlink>
    </w:p>
    <w:p>
      <w:r>
        <w:rPr>
          <w:b/>
        </w:rPr>
        <w:t xml:space="preserve">易周律师行 - 法讯 - 中国 - 第533期 - 2017年03月03日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ced3a4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3/"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7" Target="10a.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6" Target="http://company.stcn.com/2017/0227/13069234.shtml" TargetMode="External" /><Relationship Type="http://schemas.openxmlformats.org/officeDocument/2006/relationships/hyperlink" Id="rId69" Target="http://company.stcn.com/2017/0227/13069257.shtml" TargetMode="External" /><Relationship Type="http://schemas.openxmlformats.org/officeDocument/2006/relationships/hyperlink" Id="rId62" Target="http://news.sina.com.cn/o/2017-02-24/doc-ifyavrsx4983713.shtml" TargetMode="External" /><Relationship Type="http://schemas.openxmlformats.org/officeDocument/2006/relationships/hyperlink" Id="rId25" Target="http://www.cbrc.gov.cn/chinese/home/docView/ADBA919718424013997B848840730EB1.html" TargetMode="External" /><Relationship Type="http://schemas.openxmlformats.org/officeDocument/2006/relationships/hyperlink" Id="rId51" Target="http://www.chinacourt.org/article/detail/2017/02/id/2548921.shtml" TargetMode="External" /><Relationship Type="http://schemas.openxmlformats.org/officeDocument/2006/relationships/hyperlink" Id="rId55" Target="http://www.chinacourt.org/article/detail/2017/02/id/2551540.shtml" TargetMode="External" /><Relationship Type="http://schemas.openxmlformats.org/officeDocument/2006/relationships/hyperlink" Id="rId59" Target="http://www.chinacourt.org/article/detail/2017/02/id/2553947.shtml" TargetMode="External" /><Relationship Type="http://schemas.openxmlformats.org/officeDocument/2006/relationships/hyperlink" Id="rId28" Target="http://www.chinaforex.com.cn/index.php/cms/item-view-id-42552.shtml" TargetMode="External" /><Relationship Type="http://schemas.openxmlformats.org/officeDocument/2006/relationships/hyperlink" Id="rId72" Target="http://www.cs.com.cn/gg/gsxw/201702/t20170228_5189747.html" TargetMode="External" /><Relationship Type="http://schemas.openxmlformats.org/officeDocument/2006/relationships/hyperlink" Id="rId34" Target="http://www.cs.com.cn/gg/scpl/201702/t20170228_5189792.html" TargetMode="External" /><Relationship Type="http://schemas.openxmlformats.org/officeDocument/2006/relationships/hyperlink" Id="rId31" Target="http://www.csrc.gov.cn/pub/newsite/zjhxwfb/xwdd/201702/t20170224_312657.html" TargetMode="External" /><Relationship Type="http://schemas.openxmlformats.org/officeDocument/2006/relationships/hyperlink" Id="rId47" Target="http://www.stcn.com/2017/0227/13069164.shtml" TargetMode="External" /><Relationship Type="http://schemas.openxmlformats.org/officeDocument/2006/relationships/hyperlink" Id="rId37" Target="http://www.stcn.com/2017/0301/13079697.shtml" TargetMode="External" /><Relationship Type="http://schemas.openxmlformats.org/officeDocument/2006/relationships/hyperlink" Id="rId40" Target="http://www.szse.cn/main/aboutus/bsyw/39765573.shtml" TargetMode="External" /><Relationship Type="http://schemas.openxmlformats.org/officeDocument/2006/relationships/hyperlink" Id="rId43" Target="http://www.szse.cn/main/aboutus/bsyw/39765595.shtml" TargetMode="External" /><Relationship Type="http://schemas.openxmlformats.org/officeDocument/2006/relationships/hyperlink" Id="rId7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3/"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7" Target="10a.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6" Target="http://company.stcn.com/2017/0227/13069234.shtml" TargetMode="External" /><Relationship Type="http://schemas.openxmlformats.org/officeDocument/2006/relationships/hyperlink" Id="rId69" Target="http://company.stcn.com/2017/0227/13069257.shtml" TargetMode="External" /><Relationship Type="http://schemas.openxmlformats.org/officeDocument/2006/relationships/hyperlink" Id="rId62" Target="http://news.sina.com.cn/o/2017-02-24/doc-ifyavrsx4983713.shtml" TargetMode="External" /><Relationship Type="http://schemas.openxmlformats.org/officeDocument/2006/relationships/hyperlink" Id="rId25" Target="http://www.cbrc.gov.cn/chinese/home/docView/ADBA919718424013997B848840730EB1.html" TargetMode="External" /><Relationship Type="http://schemas.openxmlformats.org/officeDocument/2006/relationships/hyperlink" Id="rId51" Target="http://www.chinacourt.org/article/detail/2017/02/id/2548921.shtml" TargetMode="External" /><Relationship Type="http://schemas.openxmlformats.org/officeDocument/2006/relationships/hyperlink" Id="rId55" Target="http://www.chinacourt.org/article/detail/2017/02/id/2551540.shtml" TargetMode="External" /><Relationship Type="http://schemas.openxmlformats.org/officeDocument/2006/relationships/hyperlink" Id="rId59" Target="http://www.chinacourt.org/article/detail/2017/02/id/2553947.shtml" TargetMode="External" /><Relationship Type="http://schemas.openxmlformats.org/officeDocument/2006/relationships/hyperlink" Id="rId28" Target="http://www.chinaforex.com.cn/index.php/cms/item-view-id-42552.shtml" TargetMode="External" /><Relationship Type="http://schemas.openxmlformats.org/officeDocument/2006/relationships/hyperlink" Id="rId72" Target="http://www.cs.com.cn/gg/gsxw/201702/t20170228_5189747.html" TargetMode="External" /><Relationship Type="http://schemas.openxmlformats.org/officeDocument/2006/relationships/hyperlink" Id="rId34" Target="http://www.cs.com.cn/gg/scpl/201702/t20170228_5189792.html" TargetMode="External" /><Relationship Type="http://schemas.openxmlformats.org/officeDocument/2006/relationships/hyperlink" Id="rId31" Target="http://www.csrc.gov.cn/pub/newsite/zjhxwfb/xwdd/201702/t20170224_312657.html" TargetMode="External" /><Relationship Type="http://schemas.openxmlformats.org/officeDocument/2006/relationships/hyperlink" Id="rId47" Target="http://www.stcn.com/2017/0227/13069164.shtml" TargetMode="External" /><Relationship Type="http://schemas.openxmlformats.org/officeDocument/2006/relationships/hyperlink" Id="rId37" Target="http://www.stcn.com/2017/0301/13079697.shtml" TargetMode="External" /><Relationship Type="http://schemas.openxmlformats.org/officeDocument/2006/relationships/hyperlink" Id="rId40" Target="http://www.szse.cn/main/aboutus/bsyw/39765573.shtml" TargetMode="External" /><Relationship Type="http://schemas.openxmlformats.org/officeDocument/2006/relationships/hyperlink" Id="rId43" Target="http://www.szse.cn/main/aboutus/bsyw/39765595.shtml" TargetMode="External" /><Relationship Type="http://schemas.openxmlformats.org/officeDocument/2006/relationships/hyperlink" Id="rId7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第533期 - 2017年03月03日</dc:title>
  <dc:creator/>
</cp:coreProperties>
</file>