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第534期</w:t>
      </w:r>
      <w:r>
        <w:t xml:space="preserve"> </w:t>
      </w:r>
      <w:r>
        <w:t xml:space="preserve">-</w:t>
      </w:r>
      <w:r>
        <w:t xml:space="preserve"> </w:t>
      </w:r>
      <w:r>
        <w:t xml:space="preserve">2017年03月11日</w:t>
      </w:r>
    </w:p>
    <w:p>
      <w:hyperlink r:id="rId21">
        <w:r>
          <w:rPr>
            <w:rStyle w:val="Link"/>
          </w:rPr>
          <w:t xml:space="preserve">网络版</w:t>
        </w:r>
      </w:hyperlink>
    </w:p>
    <w:p>
      <w:pPr>
        <w:pStyle w:val="Heading1"/>
      </w:pPr>
      <w:bookmarkStart w:id="22" w:name="证监会发布中国证监会关于支持绿色债券发展的指导意见"/>
      <w:bookmarkEnd w:id="22"/>
      <w:r>
        <w:t xml:space="preserve">证监会发布《中国证监会关于支持绿色债券发展的指导意见》</w:t>
      </w:r>
    </w:p>
    <w:p>
      <w:pPr>
        <w:pStyle w:val="Heading2"/>
      </w:pPr>
      <w:bookmarkStart w:id="23" w:name="资本市场"/>
      <w:bookmarkEnd w:id="23"/>
      <w:r>
        <w:t xml:space="preserve">资本市场</w:t>
      </w:r>
    </w:p>
    <w:p>
      <w:pPr>
        <w:pStyle w:val="Heading3"/>
      </w:pPr>
      <w:bookmarkStart w:id="24" w:name="证监会发布中国证监会关于支持绿色债券发展的指导意见-1"/>
      <w:bookmarkEnd w:id="24"/>
      <w:r>
        <w:t xml:space="preserve">证监会发布《中国证监会关于支持绿色债券发展的指导意见》</w:t>
      </w:r>
    </w:p>
    <w:p>
      <w:r>
        <w:t xml:space="preserve">近日，证监会公开发布了《中国证监会关于支持绿色债券发展的指导意见》（以下简称《指导意见》），这是证监会党委落实《中共中央、国务院关于加快推进生态文明建设的意见》和《关于构建绿色金融体系的指导意见》精神的重要举措。</w:t>
      </w:r>
    </w:p>
    <w:p>
      <w:r>
        <w:t xml:space="preserve">《指导意见》提出，绿色公司债券募集资金必须投向绿色产业项目，严禁名实不符，冒用、滥用绿色项目名义套用、挪用资金。鼓励证券公司、基金管理公司、私募基金管理机构、商业银行、保险公司等市场主体及其管理的产品投资绿色公司债券，探索建立绿色投资者联盟。证券交易所研究发布绿色公司债券指数，建立和完善绿色公司债券板块，扩大绿色公司债券市场影响力。鼓励市场投资机构以绿色指数为基础开发公募、私募基金等绿色金融产品，满足投资者需要。</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m2与社融增长目标双下调"/>
      <w:bookmarkEnd w:id="27"/>
      <w:r>
        <w:t xml:space="preserve">M2与社融增长目标双下调</w:t>
      </w:r>
    </w:p>
    <w:p>
      <w:r>
        <w:t xml:space="preserve">近日，国务院总理李克强提交全国人大审议的政府工作报告中，关于货币政策的表述，从2016年的“稳健货币政策要灵活适度”转变为“货币政策要保持稳健中性”，并将2017年的M2增速目标和社会融资规模余额增长目标从去年的13%下调至12%。</w:t>
      </w:r>
    </w:p>
    <w:p>
      <w:r>
        <w:t xml:space="preserve">今年的政府工作报告还强调，要综合运用货币政策工具，维护流动性基本稳定，合理引导市场利率水平，疏通传导机制，促进金融资源更多流向实体经济，特别是支持“三农”和小微企业。春节前后，央行上调MLF、SLF利率10个基点。央行表示，提高SLF、MLF等公开市场操作利率并不等于加息，但有分析人士认为，短期和中期借贷利率的提高，会传导到银行贷款利率。</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一行三会联合出手百万亿资管市场告别监管套利时代"/>
      <w:bookmarkEnd w:id="30"/>
      <w:r>
        <w:t xml:space="preserve">一行三会联合出手，百万亿资管市场告别监管套利时代</w:t>
      </w:r>
    </w:p>
    <w:p>
      <w:r>
        <w:t xml:space="preserve">全国政协委员、央行副行长易纲在回答记者提问时表示，大资管统一监管标准的政策正在研究之中。而在此前证监会、银监会及保监会在国新办召开的新闻发布会中，均对此有所表态。保监会副主席陈文辉表示，由央行牵头，一行三会一直在紧锣密鼓制定监管框架的统一设计。整个资管业务有共同的规律，统一的监管规则非常有必要。</w:t>
      </w:r>
    </w:p>
    <w:p>
      <w:r>
        <w:t xml:space="preserve">银监会副主席曹宇则表示，目前中国人民银行牵头、会同三会正在制定统一的资产管理产品标准规制。银监会积极配合中国人民银行和其他部门做好相关工作。证监会主席刘士余则表示，一行三会和有关机构制定资管产品的统一监管办法，这是中国金融市场防范风险、健康发展必须要做的一件大事，证监会正积极配合。</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ppp资产证券化启动有望成下一轮热点"/>
      <w:bookmarkEnd w:id="33"/>
      <w:r>
        <w:t xml:space="preserve">PPP资产证券化启动，有望成下一轮热点</w:t>
      </w:r>
    </w:p>
    <w:p>
      <w:r>
        <w:t xml:space="preserve">近日，上交所公司债券项目信息平台发布信息显示，首创股份、华夏幸福两单PPP资产证券化项目获得受理，标志着业界一直期待的PPP资产证券化终于落地。首创股份和华夏幸福昨日股价出现明显异动，首创股份更是一度冲击涨停板，最终分别收涨5.84%和3.13%。同日，深交所固定收益信息平台发布信息显示，广发恒进－广晟东江环保虎门绿源PPP项目资产支持专项计划也获得受理。</w:t>
      </w:r>
    </w:p>
    <w:p>
      <w:r>
        <w:t xml:space="preserve">上交所的公开信息显示，首创股份项目拟发行金额5.3亿元。首创股份表示，本次推出国内首批PPP资产证券化产品，将有助于公司的战略发展布局，助力公司完善在PPP业务中投资、建设、运营管理以及资本退出的完整业务链条，盘活公司存量资产，促进公司未来在PPP领域的进一步发展。随着近期财报的逐渐披露，上市公司将释放与PPP相关的项目库，有望成为下一轮热点。</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监管探讨比特币平台负面清单"/>
      <w:bookmarkEnd w:id="36"/>
      <w:r>
        <w:t xml:space="preserve">监管探讨比特币平台负面清单</w:t>
      </w:r>
    </w:p>
    <w:p>
      <w:r>
        <w:t xml:space="preserve">2017年3月6日，全国人大代表、中国人民银行营业管理部主任周学东提出建议，短期内要明确比特币交易平台监管底线，建立负面清单，做好风险防范和化解工作；从长期看，有必要借鉴国际监管经验，研究构建长效监管机制，维护金融稳定。</w:t>
      </w:r>
    </w:p>
    <w:p>
      <w:r>
        <w:t xml:space="preserve">黄金钱包首席研究员肖磊表示，这个表态极为重要，透露了至少三个信息：第一，对比特币的监管，要实施负面清单制度，而负面清单，即法无禁止即可为，这是非常积极的一个信号；第二，有必要借鉴国际监管经验，目前国际诸多市场已经承认了比特币的合法地位，只不过是对其定义不同罢了，如果借鉴国际市场对比特币的监管经验，目前国内比特币市场的监管有望更加灵活，而不是一刀切管死；第三，人民币银行官员释放对比特币市场的态度，本身就是对这一市场的重视，各比特币交易平台被取缔的可能性确实在降低，但风险防范工作可能还会持续。</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2"/>
      </w:pPr>
      <w:bookmarkStart w:id="39" w:name="保险"/>
      <w:bookmarkEnd w:id="39"/>
      <w:r>
        <w:t xml:space="preserve">保险</w:t>
      </w:r>
    </w:p>
    <w:p>
      <w:pPr>
        <w:pStyle w:val="Heading3"/>
      </w:pPr>
      <w:bookmarkStart w:id="40" w:name="企业所得税减税范围增至50万"/>
      <w:bookmarkEnd w:id="40"/>
      <w:r>
        <w:t xml:space="preserve">企业所得税减税范围增至50万</w:t>
      </w:r>
    </w:p>
    <w:p>
      <w:r>
        <w:t xml:space="preserve">2017年3月5日国务院总理李克强做了2017年《政府工作报告》，多项“减税降费”新举措公布，将扩大享受“减半征收企业所得税优惠”的小微企业范围，年应纳税所得额上限由30万元提高到50万元。此外，科技型中小企业研发费用加计扣除比例由50%提高到75%。</w:t>
      </w:r>
    </w:p>
    <w:p>
      <w:r>
        <w:t xml:space="preserve">中央财经大学教授刘桓认为，从以往政策来看，减税范围由3万元提高至10万元，30万元，再到如今的50万元，减税政策一直在延续。考虑到不少企业压力较大，利润减少，预计这将会有相当多的企业受益；而正在筹划中的增值税减档事情，刘桓认为，13%的档位可能会并入11%的档位。据了解，现行增值税税率有17%、13%、11%和6%四档。档次过多带来类似业务适用政策不一问题，不利于公平竞争，不利于充分发挥增值税中性作用。</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p>
    <w:p>
      <w:pPr>
        <w:pStyle w:val="Heading2"/>
      </w:pPr>
      <w:bookmarkStart w:id="43" w:name="税收"/>
      <w:bookmarkEnd w:id="43"/>
      <w:r>
        <w:t xml:space="preserve">税收</w:t>
      </w:r>
    </w:p>
    <w:p>
      <w:pPr>
        <w:pStyle w:val="Heading3"/>
      </w:pPr>
      <w:bookmarkStart w:id="44" w:name="海关总署发布中华人民共和国海关关于最不发达国家特别优惠关税待遇进口货物原产地管理办法"/>
      <w:bookmarkEnd w:id="44"/>
      <w:r>
        <w:t xml:space="preserve">海关总署发布《中华人民共和国海关关于最不发达国家特别优惠关税待遇进口货物原产地管理办法》</w:t>
      </w:r>
    </w:p>
    <w:p>
      <w:r>
        <w:t xml:space="preserve">近日，海关总署发布《中华人民共和国海关关于最不发达国家特别优惠关税待遇进口货物原产地管理办法》（以下简称《办法》），自2017年4月1日起施行。对于自与我国建交的最不发达国家进口的货物，符合本办法规定的原产地标准的，也可以自公布之日起按照本办法的规定向海关办理申报进口手续，申请享受特别优惠关税待遇。</w:t>
      </w:r>
    </w:p>
    <w:p>
      <w:r>
        <w:t xml:space="preserve">《办法》中规定，原产于中国的货物或者材料在受惠国境内被用于生产另一货物的，该货物或者材料应当视为受惠国的原产货物或者材料。受惠国是特定区域性集团成员国的，该集团内其他受惠国的原产货物或者材料在该受惠国用于生产另一货物时，所使用的其他受惠国的原产货物或者材料可以视为该受惠国的原产货物或者材料。另外，属于《税则》归类总规则三所规定的成套货物，其中全部货物均原产于某一受惠国的，该成套货物即为原产于该受惠国；其中部分货物非原产于该受惠国，但是按照本办法第六条确定的比例未超过该成套货物价格15%的，该成套货物仍应当视为原产于该受惠国。</w:t>
      </w:r>
    </w:p>
    <w:p>
      <w:hyperlink r:id="rId45">
        <w:r>
          <w:rPr>
            <w:rStyle w:val="Link"/>
          </w:rPr>
          <w:t xml:space="preserve">来源</w:t>
        </w:r>
      </w:hyperlink>
      <w:r>
        <w:t xml:space="preserve"> </w:t>
      </w:r>
      <w:r>
        <w:t xml:space="preserve">(</w:t>
      </w:r>
      <w:hyperlink r:id="rId46">
        <w:r>
          <w:rPr>
            <w:rStyle w:val="Link"/>
          </w:rPr>
          <w:t xml:space="preserve">副本</w:t>
        </w:r>
      </w:hyperlink>
      <w:r>
        <w:t xml:space="preserve">) (</w:t>
      </w:r>
      <w:hyperlink r:id="rId47">
        <w:r>
          <w:rPr>
            <w:rStyle w:val="Link"/>
          </w:rPr>
          <w:t xml:space="preserve">副本</w:t>
        </w:r>
      </w:hyperlink>
      <w:r>
        <w:t xml:space="preserve">) (</w:t>
      </w:r>
      <w:hyperlink r:id="rId48">
        <w:r>
          <w:rPr>
            <w:rStyle w:val="Link"/>
          </w:rPr>
          <w:t xml:space="preserve">副本</w:t>
        </w:r>
      </w:hyperlink>
      <w:r>
        <w:t xml:space="preserve">) (</w:t>
      </w:r>
      <w:hyperlink r:id="rId49">
        <w:r>
          <w:rPr>
            <w:rStyle w:val="Link"/>
          </w:rPr>
          <w:t xml:space="preserve">副本</w:t>
        </w:r>
      </w:hyperlink>
      <w:r>
        <w:t xml:space="preserve">)</w:t>
      </w:r>
    </w:p>
    <w:p>
      <w:pPr>
        <w:pStyle w:val="Heading2"/>
      </w:pPr>
      <w:bookmarkStart w:id="50" w:name="行业"/>
      <w:bookmarkEnd w:id="50"/>
      <w:r>
        <w:t xml:space="preserve">行业</w:t>
      </w:r>
    </w:p>
    <w:p>
      <w:pPr>
        <w:pStyle w:val="Heading3"/>
      </w:pPr>
      <w:bookmarkStart w:id="51" w:name="四部委加快提升我国汽车动力电池产业发展能力和水平"/>
      <w:bookmarkEnd w:id="51"/>
      <w:r>
        <w:t xml:space="preserve">四部委：加快提升我国汽车动力电池产业发展能力和水平</w:t>
      </w:r>
    </w:p>
    <w:p>
      <w:r>
        <w:t xml:space="preserve">工业和信息化部、发展改革委、科技部、财政部日前联合印发《促进汽车动力电池产业发展行动方案》（以下简称《方案》），提出加快提升我国汽车动力电池产业发展能力和水平，推动新能源汽车产业健康可持续发展。到2020年，动力电池行业总产能超过1000亿瓦时，形成产销规模在400亿瓦时以上、具有国际竞争力的龙头企业。</w:t>
      </w:r>
    </w:p>
    <w:p>
      <w:r>
        <w:t xml:space="preserve">《方案》提出，按照《中国制造2025》总体部署，落实新能源汽车发展战略目标，将发挥企业主体作用，加大政策扶持力度，完善协同创新体系，突破关键核心技术，加快形成具有国际竞争力的动力电池产业体系。在动力电池领域，持续提升现有产品性能质量和安全性：进一步降低成本，2018年前保障高品质动力电池供应；大力推进新型锂离子动力电池研发和产业化，2020年实现大规模应用；着力加强新体系动力电池基础研究，2025年实现技术变革和开发测试。</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3"/>
      </w:pPr>
      <w:bookmarkStart w:id="54" w:name="郑州不动产登记开始收费小微企业免收"/>
      <w:bookmarkEnd w:id="54"/>
      <w:r>
        <w:t xml:space="preserve">郑州不动产登记开始收费，小微企业免收</w:t>
      </w:r>
    </w:p>
    <w:p>
      <w:r>
        <w:t xml:space="preserve">近日，郑州市的不动产登记开始收取不动产登记费和证书工本费，但小微企业办理不动产登记等情况予以免收。</w:t>
      </w:r>
    </w:p>
    <w:p>
      <w:r>
        <w:t xml:space="preserve">按照规定，以下几种情况可以免收不动产登记费：一是小微企业(含个体工商户)申请不动产登记的；二是廉租住房、公共租赁住房、经济适用住房和棚户区改造安置住房所有权及其建设用地使用权办理不动产登记的；三是申请农村土地、森林、房屋以及农用建设用地等承包经营权或使用权登记的；四是申请与房屋配套的车位、储藏室等登记，不单独核发不动产权属证书的；五是因行政区划调整导致不动产坐落的街道、门牌号或房屋名称变更而申请变更登记的；六是国家法律、法规规定予以免收的其他情况。</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3"/>
      </w:pPr>
      <w:bookmarkStart w:id="57" w:name="内地与香港特别行政区就民商事案件相互委托取证作出安排"/>
      <w:bookmarkEnd w:id="57"/>
      <w:r>
        <w:t xml:space="preserve">内地与香港特别行政区就民商事案件相互委托取证作出安排</w:t>
      </w:r>
    </w:p>
    <w:p>
      <w:r>
        <w:t xml:space="preserve">根据《中华人民共和国香港特别行政区基本法》第九十五条的规定，最高人民法院与香港特别行政区经协商，日前达成《关于内地与香港特别行政区法院就民商事案件相互委托提取证据的安排》（以下简称《安排》），该《安排》自2017年3月1日起生效。</w:t>
      </w:r>
    </w:p>
    <w:p>
      <w:r>
        <w:t xml:space="preserve">《安排》明确，受委托方的联络机关收到委托书后，应及时将委托书及相关材料转相关法院或其他机关办理，或自行办理，如果受委托方认为委托材料不符合本辖区相关法律规定，应及时通知委托方修改补充，如果受委托方认为受托事项不属于委托事项范围，可以予以退回并说明原因。委托书及相关材料须包括法院名称、与委托事项有关的当事人或证人信息以及要求提供的协助详情等。</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3"/>
      </w:pPr>
      <w:bookmarkStart w:id="60" w:name="最高人民法院对不履行财产报告义务的被执行人实施信用惩戒"/>
      <w:bookmarkEnd w:id="60"/>
      <w:r>
        <w:t xml:space="preserve">最高人民法院:对不履行财产报告义务的被执行人实施信用惩戒</w:t>
      </w:r>
    </w:p>
    <w:p>
      <w:r>
        <w:t xml:space="preserve">中国最高人民法院近日发布了《最高人民法院关于民事执行中财产调查若干问题的规定》，强化被执行人财产报告义务。拒绝报告、虚假报告或者无正当理由逾期报告财产情况的被执行人将被纳入失信名单。</w:t>
      </w:r>
    </w:p>
    <w:p>
      <w:r>
        <w:t xml:space="preserve">为解决当事人敷衍申报，人民法院处罚不力的问题，司法解释专门规定了对财产报告的调查核实程序，细化了被执行人不履行报告义务的处罚措施。如第九条指出，“被执行人拒绝报告、虚假报告或者无正当理由逾期报告财产情况的，人民法院可以根据情节轻重对被执行人或者其法定代理人予以罚款、拘留;构成犯罪的，依法追究刑事责任”。此外，司法解释还明确规定了悬赏公告制度。既对发布悬赏公告调查被执行人财产的做法予以肯定，又对悬赏金的领取条件、支付方式等问题予以规范，以便降低因悬赏公告发生纠纷的可能。</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2"/>
      </w:pPr>
      <w:bookmarkStart w:id="63" w:name="并购"/>
      <w:bookmarkEnd w:id="63"/>
      <w:r>
        <w:t xml:space="preserve">并购</w:t>
      </w:r>
    </w:p>
    <w:p>
      <w:pPr>
        <w:pStyle w:val="Heading3"/>
      </w:pPr>
      <w:bookmarkStart w:id="64" w:name="东诚药业拟收购南京江原安迪科提升核医药实力"/>
      <w:bookmarkEnd w:id="64"/>
      <w:r>
        <w:t xml:space="preserve">东诚药业拟收购南京江原安迪科，提升核医药实力</w:t>
      </w:r>
    </w:p>
    <w:p>
      <w:r>
        <w:t xml:space="preserve">烟台东诚药业集团股份有限公司（以下简称“东诚药业”）于2017年3月6日公告，公司计划以发行股份及支付现金的方式收购南京江原安迪科正电子研究发展有限公司100%股权。这意味着，继去年成功收购成都云克药业、Global Medical Solutions,Ltd.和中泰生物制品公司使得公司业绩大幅增长之后，公司将在核医疗方面再进一步。</w:t>
      </w:r>
    </w:p>
    <w:p>
      <w:r>
        <w:t xml:space="preserve">本次收购是继东诚药业近两年成功收购云克药业、GMS和中泰医药以来，在核医药领域的又一次重大资产收购，如本次成功收购，将极大地提升东诚药业在核医药领域的核心竞争力和整体实力，一举奠定东诚药业在核医药领域的领先地位。不过，值得一提的是，此前，东诚药业收购的云克药业、GMS和中泰医药在公司收购后取得良好的发展，并为公司带来了可观的利润，使其2016年业绩大幅增长。</w:t>
      </w:r>
    </w:p>
    <w:p>
      <w:hyperlink r:id="rId65">
        <w:r>
          <w:rPr>
            <w:rStyle w:val="Link"/>
          </w:rPr>
          <w:t xml:space="preserve">来源</w:t>
        </w:r>
      </w:hyperlink>
      <w:r>
        <w:t xml:space="preserve"> </w:t>
      </w:r>
      <w:r>
        <w:t xml:space="preserve">(</w:t>
      </w:r>
      <w:hyperlink r:id="rId66">
        <w:r>
          <w:rPr>
            <w:rStyle w:val="Link"/>
          </w:rPr>
          <w:t xml:space="preserve">副本</w:t>
        </w:r>
      </w:hyperlink>
      <w:r>
        <w:t xml:space="preserve">)</w:t>
      </w:r>
    </w:p>
    <w:p>
      <w:pPr>
        <w:pStyle w:val="Heading3"/>
      </w:pPr>
      <w:bookmarkStart w:id="67" w:name="紫光国芯出资4836万收购关联方资产"/>
      <w:bookmarkEnd w:id="67"/>
      <w:r>
        <w:t xml:space="preserve">紫光国芯出资4836万收购关联方资产</w:t>
      </w:r>
    </w:p>
    <w:p>
      <w:r>
        <w:t xml:space="preserve">2017年3月7日，紫光国芯披露拟以自有资金，向西安易比特科技咨询管理有限公司收购其持有的西安紫光国芯24%股权，作价4836万元。交易完成后，西安紫光国芯将成为紫光国芯全资子公司。</w:t>
      </w:r>
    </w:p>
    <w:p>
      <w:r>
        <w:t xml:space="preserve">西安紫光国芯前身为西安华芯半导体有限公司，曾是芯片巨头德国英飞凌在西安的存储器事业部，后来独立成为公司，是国内具有世界主流大容量存储器核心设计开发技术的公司。紫光国芯表示，标的公司未发生对上市公司不利的情形，两次评估结果的差异反映了西安紫光国芯业务的成长性，具有合理性。此次收购，紫光国芯停牌时点颇为“精准”，首先于2月20日开市起停牌，公告筹划涉及半导体行业的重大对外投资事项。2017年3月6日开市时起，紫光国芯转入重大资产重组程序继续停牌，承诺争取停牌时间不超过1个月。</w:t>
      </w:r>
    </w:p>
    <w:p>
      <w:hyperlink r:id="rId68">
        <w:r>
          <w:rPr>
            <w:rStyle w:val="Link"/>
          </w:rPr>
          <w:t xml:space="preserve">来源</w:t>
        </w:r>
      </w:hyperlink>
      <w:r>
        <w:t xml:space="preserve"> </w:t>
      </w:r>
      <w:r>
        <w:t xml:space="preserve">(</w:t>
      </w:r>
      <w:hyperlink r:id="rId69">
        <w:r>
          <w:rPr>
            <w:rStyle w:val="Link"/>
          </w:rPr>
          <w:t xml:space="preserve">副本</w:t>
        </w:r>
      </w:hyperlink>
      <w:r>
        <w:t xml:space="preserve">)</w:t>
      </w:r>
    </w:p>
    <w:p>
      <w:pPr>
        <w:pStyle w:val="Heading3"/>
      </w:pPr>
      <w:bookmarkStart w:id="70" w:name="合众思壮拟6亿元收购天派电子"/>
      <w:bookmarkEnd w:id="70"/>
      <w:r>
        <w:t xml:space="preserve">合众思壮拟6亿元收购天派电子</w:t>
      </w:r>
    </w:p>
    <w:p>
      <w:r>
        <w:t xml:space="preserve">北京合众思壮科技股份有限公司（以下简称“合众思壮”）近日公告称，拟以发行股份的方式购买天派电子100%股权，预估值为6亿元。同时，以询价发行方式向不超过10家认购对象非公开发行股份募集配套资金，总额预计不超过6亿元，拟用于车载导航多媒体信息系统开发及产业化项目和全国营销和服务网络建设项目。</w:t>
      </w:r>
    </w:p>
    <w:p>
      <w:r>
        <w:t xml:space="preserve">公司表示，作为国内卫星定位导航领域的龙头企业，公司致力于北斗高精度定位导航和空间信息应用产品和服务。本次收购天派电子是上市公司的北斗高精度定位导航在汽车应用领域的产业布局之一，两者的结合将为上市公司未来发展汽车高精度导航和自动（辅助）驾驶方面的产品和服务打下基础。</w:t>
      </w:r>
    </w:p>
    <w:p>
      <w:hyperlink r:id="rId71">
        <w:r>
          <w:rPr>
            <w:rStyle w:val="Link"/>
          </w:rPr>
          <w:t xml:space="preserve">来源</w:t>
        </w:r>
      </w:hyperlink>
      <w:r>
        <w:t xml:space="preserve"> </w:t>
      </w:r>
      <w:r>
        <w:t xml:space="preserve">(</w:t>
      </w:r>
      <w:hyperlink r:id="rId72">
        <w:r>
          <w:rPr>
            <w:rStyle w:val="Link"/>
          </w:rPr>
          <w:t xml:space="preserve">副本</w:t>
        </w:r>
      </w:hyperlink>
      <w:r>
        <w:t xml:space="preserve">)</w:t>
      </w:r>
    </w:p>
    <w:p>
      <w:pPr>
        <w:pStyle w:val="Heading3"/>
      </w:pPr>
      <w:bookmarkStart w:id="73" w:name="东方电气拟收购控股股东多项资产交易金额达69亿"/>
      <w:bookmarkEnd w:id="73"/>
      <w:r>
        <w:t xml:space="preserve">东方电气拟收购控股股东多项资产，交易金额达69亿</w:t>
      </w:r>
    </w:p>
    <w:p>
      <w:r>
        <w:t xml:space="preserve">近日，东方电气集团旗下唯一的上市平台东方电气公告称，拟收购控股股东持有的东方财务100%股权、国合公司100%股权、东方自控100%股权、东方日立41.24%股权、物资公司100%股权、大件物流100%股权、清能科技100%股权、智能科技100%股权和东方电气集团拥有的设备类资产及知识产权等无形资产，其中东方财务100%股权拟由上市公司或上市公司指定的本次交易完成后上市公司的全资子公司承接。标的资产交易金额达69亿元。</w:t>
      </w:r>
    </w:p>
    <w:p>
      <w:r>
        <w:t xml:space="preserve">东方电气表示，上市公司现有主营业务分为生产销售大型发电成套设备、提供电站工程承包及服务，本次交易完成后，上市公司的业务范围将得到拓展，新增电力电子与控制、金融、物流、贸易、新能源、工业智能装备等业务，上市公司作为发电设备制造商的产业链将更趋完善，发电设备核心产业将提质增效。同时通过本次交易，上市公司在产融结合、国际化经营方面将得到有力提升，并有望通过新增业务培育未来业绩增长点，盈利能力和抗风险能力也将得到提升，综合竞争力将得到增强。</w:t>
      </w:r>
    </w:p>
    <w:p>
      <w:hyperlink r:id="rId74">
        <w:r>
          <w:rPr>
            <w:rStyle w:val="Link"/>
          </w:rPr>
          <w:t xml:space="preserve">来源</w:t>
        </w:r>
      </w:hyperlink>
      <w:r>
        <w:t xml:space="preserve"> </w:t>
      </w:r>
      <w:r>
        <w:t xml:space="preserve">(</w:t>
      </w:r>
      <w:hyperlink r:id="rId75">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6">
        <w:r>
          <w:rPr>
            <w:rStyle w:val="Link"/>
          </w:rPr>
          <w:t xml:space="preserve">unsubscribe@charltonslaw.com</w:t>
        </w:r>
      </w:hyperlink>
    </w:p>
    <w:p>
      <w:r>
        <w:rPr>
          <w:b/>
        </w:rPr>
        <w:t xml:space="preserve">易周律师行 - 法讯 - 中国 - 第534期 - 2017年03月11日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adbebca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www.charltonslaw.com.cn/china-news-alerts-cn-issue-534/" TargetMode="External" /><Relationship Type="http://schemas.openxmlformats.org/officeDocument/2006/relationships/hyperlink" Id="rId26" Target="1.pdf" TargetMode="External" /><Relationship Type="http://schemas.openxmlformats.org/officeDocument/2006/relationships/hyperlink" Id="rId59" Target="10.pdf" TargetMode="External" /><Relationship Type="http://schemas.openxmlformats.org/officeDocument/2006/relationships/hyperlink" Id="rId62" Target="11.pdf" TargetMode="External" /><Relationship Type="http://schemas.openxmlformats.org/officeDocument/2006/relationships/hyperlink" Id="rId66" Target="12.pdf" TargetMode="External" /><Relationship Type="http://schemas.openxmlformats.org/officeDocument/2006/relationships/hyperlink" Id="rId69" Target="13.pdf" TargetMode="External" /><Relationship Type="http://schemas.openxmlformats.org/officeDocument/2006/relationships/hyperlink" Id="rId72" Target="14.pdf" TargetMode="External" /><Relationship Type="http://schemas.openxmlformats.org/officeDocument/2006/relationships/hyperlink" Id="rId75"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2" Target="6.pdf" TargetMode="External" /><Relationship Type="http://schemas.openxmlformats.org/officeDocument/2006/relationships/hyperlink" Id="rId46" Target="7.pdf" TargetMode="External" /><Relationship Type="http://schemas.openxmlformats.org/officeDocument/2006/relationships/hyperlink" Id="rId47" Target="7a.pdf" TargetMode="External" /><Relationship Type="http://schemas.openxmlformats.org/officeDocument/2006/relationships/hyperlink" Id="rId48" Target="7b.pdf" TargetMode="External" /><Relationship Type="http://schemas.openxmlformats.org/officeDocument/2006/relationships/hyperlink" Id="rId49" Target="7c.pdf" TargetMode="External" /><Relationship Type="http://schemas.openxmlformats.org/officeDocument/2006/relationships/hyperlink" Id="rId53" Target="8.pdf" TargetMode="External" /><Relationship Type="http://schemas.openxmlformats.org/officeDocument/2006/relationships/hyperlink" Id="rId56" Target="9.pdf" TargetMode="External" /><Relationship Type="http://schemas.openxmlformats.org/officeDocument/2006/relationships/hyperlink" Id="rId65" Target="http://company.stcn.com/2017/0307/13095734.shtml" TargetMode="External" /><Relationship Type="http://schemas.openxmlformats.org/officeDocument/2006/relationships/hyperlink" Id="rId68" Target="http://company.stcn.com/2017/0308/13097328.shtml" TargetMode="External" /><Relationship Type="http://schemas.openxmlformats.org/officeDocument/2006/relationships/hyperlink" Id="rId74" Target="http://company.stcn.com/2017/0308/13097339.shtml" TargetMode="External" /><Relationship Type="http://schemas.openxmlformats.org/officeDocument/2006/relationships/hyperlink" Id="rId71" Target="http://company.stcn.com/2017/0308/13097347.shtml" TargetMode="External" /><Relationship Type="http://schemas.openxmlformats.org/officeDocument/2006/relationships/hyperlink" Id="rId61" Target="http://news.jcrb.com/jxsw/201703/t20170302_1722782.html" TargetMode="External" /><Relationship Type="http://schemas.openxmlformats.org/officeDocument/2006/relationships/hyperlink" Id="rId52" Target="http://news.xinhuanet.com/fortune/2017-03/02/c_1120559252.htm" TargetMode="External" /><Relationship Type="http://schemas.openxmlformats.org/officeDocument/2006/relationships/hyperlink" Id="rId55" Target="http://news.xinhuanet.com/politics/2017-03/02/c_1120558128.htm" TargetMode="External" /><Relationship Type="http://schemas.openxmlformats.org/officeDocument/2006/relationships/hyperlink" Id="rId58" Target="http://www.chinacourt.org/article/detail/2017/02/id/2558834.shtml" TargetMode="External" /><Relationship Type="http://schemas.openxmlformats.org/officeDocument/2006/relationships/hyperlink" Id="rId31" Target="http://www.chinaforex.com.cn/index.php/cms/item-view-id-42646.shtml" TargetMode="External" /><Relationship Type="http://schemas.openxmlformats.org/officeDocument/2006/relationships/hyperlink" Id="rId28" Target="http://www.chinaforex.com.cn/index.php/cms/item-view-id-42650.shtml" TargetMode="External" /><Relationship Type="http://schemas.openxmlformats.org/officeDocument/2006/relationships/hyperlink" Id="rId37" Target="http://www.chinaforex.com.cn/index.php/cms/item-view-id-42651.shtml" TargetMode="External" /><Relationship Type="http://schemas.openxmlformats.org/officeDocument/2006/relationships/hyperlink" Id="rId41" Target="http://www.chinalawinfo.com/News/NewsFullText.aspx?NewsId=84713" TargetMode="External" /><Relationship Type="http://schemas.openxmlformats.org/officeDocument/2006/relationships/hyperlink" Id="rId25" Target="http://www.csrc.gov.cn/pub/newsite/zjhxwfb/xwdd/201703/t20170303_313010.html" TargetMode="External" /><Relationship Type="http://schemas.openxmlformats.org/officeDocument/2006/relationships/hyperlink" Id="rId45" Target="http://www.customs.gov.cn/publish/portal0/tab49564/info841489.htm" TargetMode="External" /><Relationship Type="http://schemas.openxmlformats.org/officeDocument/2006/relationships/hyperlink" Id="rId34" Target="http://www.stcn.com/2017/0309/13099751.shtml" TargetMode="External" /><Relationship Type="http://schemas.openxmlformats.org/officeDocument/2006/relationships/hyperlink" Id="rId76"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1" Target="//www.charltonslaw.com.cn/china-news-alerts-cn-issue-534/" TargetMode="External" /><Relationship Type="http://schemas.openxmlformats.org/officeDocument/2006/relationships/hyperlink" Id="rId26" Target="1.pdf" TargetMode="External" /><Relationship Type="http://schemas.openxmlformats.org/officeDocument/2006/relationships/hyperlink" Id="rId59" Target="10.pdf" TargetMode="External" /><Relationship Type="http://schemas.openxmlformats.org/officeDocument/2006/relationships/hyperlink" Id="rId62" Target="11.pdf" TargetMode="External" /><Relationship Type="http://schemas.openxmlformats.org/officeDocument/2006/relationships/hyperlink" Id="rId66" Target="12.pdf" TargetMode="External" /><Relationship Type="http://schemas.openxmlformats.org/officeDocument/2006/relationships/hyperlink" Id="rId69" Target="13.pdf" TargetMode="External" /><Relationship Type="http://schemas.openxmlformats.org/officeDocument/2006/relationships/hyperlink" Id="rId72" Target="14.pdf" TargetMode="External" /><Relationship Type="http://schemas.openxmlformats.org/officeDocument/2006/relationships/hyperlink" Id="rId75"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2" Target="6.pdf" TargetMode="External" /><Relationship Type="http://schemas.openxmlformats.org/officeDocument/2006/relationships/hyperlink" Id="rId46" Target="7.pdf" TargetMode="External" /><Relationship Type="http://schemas.openxmlformats.org/officeDocument/2006/relationships/hyperlink" Id="rId47" Target="7a.pdf" TargetMode="External" /><Relationship Type="http://schemas.openxmlformats.org/officeDocument/2006/relationships/hyperlink" Id="rId48" Target="7b.pdf" TargetMode="External" /><Relationship Type="http://schemas.openxmlformats.org/officeDocument/2006/relationships/hyperlink" Id="rId49" Target="7c.pdf" TargetMode="External" /><Relationship Type="http://schemas.openxmlformats.org/officeDocument/2006/relationships/hyperlink" Id="rId53" Target="8.pdf" TargetMode="External" /><Relationship Type="http://schemas.openxmlformats.org/officeDocument/2006/relationships/hyperlink" Id="rId56" Target="9.pdf" TargetMode="External" /><Relationship Type="http://schemas.openxmlformats.org/officeDocument/2006/relationships/hyperlink" Id="rId65" Target="http://company.stcn.com/2017/0307/13095734.shtml" TargetMode="External" /><Relationship Type="http://schemas.openxmlformats.org/officeDocument/2006/relationships/hyperlink" Id="rId68" Target="http://company.stcn.com/2017/0308/13097328.shtml" TargetMode="External" /><Relationship Type="http://schemas.openxmlformats.org/officeDocument/2006/relationships/hyperlink" Id="rId74" Target="http://company.stcn.com/2017/0308/13097339.shtml" TargetMode="External" /><Relationship Type="http://schemas.openxmlformats.org/officeDocument/2006/relationships/hyperlink" Id="rId71" Target="http://company.stcn.com/2017/0308/13097347.shtml" TargetMode="External" /><Relationship Type="http://schemas.openxmlformats.org/officeDocument/2006/relationships/hyperlink" Id="rId61" Target="http://news.jcrb.com/jxsw/201703/t20170302_1722782.html" TargetMode="External" /><Relationship Type="http://schemas.openxmlformats.org/officeDocument/2006/relationships/hyperlink" Id="rId52" Target="http://news.xinhuanet.com/fortune/2017-03/02/c_1120559252.htm" TargetMode="External" /><Relationship Type="http://schemas.openxmlformats.org/officeDocument/2006/relationships/hyperlink" Id="rId55" Target="http://news.xinhuanet.com/politics/2017-03/02/c_1120558128.htm" TargetMode="External" /><Relationship Type="http://schemas.openxmlformats.org/officeDocument/2006/relationships/hyperlink" Id="rId58" Target="http://www.chinacourt.org/article/detail/2017/02/id/2558834.shtml" TargetMode="External" /><Relationship Type="http://schemas.openxmlformats.org/officeDocument/2006/relationships/hyperlink" Id="rId31" Target="http://www.chinaforex.com.cn/index.php/cms/item-view-id-42646.shtml" TargetMode="External" /><Relationship Type="http://schemas.openxmlformats.org/officeDocument/2006/relationships/hyperlink" Id="rId28" Target="http://www.chinaforex.com.cn/index.php/cms/item-view-id-42650.shtml" TargetMode="External" /><Relationship Type="http://schemas.openxmlformats.org/officeDocument/2006/relationships/hyperlink" Id="rId37" Target="http://www.chinaforex.com.cn/index.php/cms/item-view-id-42651.shtml" TargetMode="External" /><Relationship Type="http://schemas.openxmlformats.org/officeDocument/2006/relationships/hyperlink" Id="rId41" Target="http://www.chinalawinfo.com/News/NewsFullText.aspx?NewsId=84713" TargetMode="External" /><Relationship Type="http://schemas.openxmlformats.org/officeDocument/2006/relationships/hyperlink" Id="rId25" Target="http://www.csrc.gov.cn/pub/newsite/zjhxwfb/xwdd/201703/t20170303_313010.html" TargetMode="External" /><Relationship Type="http://schemas.openxmlformats.org/officeDocument/2006/relationships/hyperlink" Id="rId45" Target="http://www.customs.gov.cn/publish/portal0/tab49564/info841489.htm" TargetMode="External" /><Relationship Type="http://schemas.openxmlformats.org/officeDocument/2006/relationships/hyperlink" Id="rId34" Target="http://www.stcn.com/2017/0309/13099751.shtml" TargetMode="External" /><Relationship Type="http://schemas.openxmlformats.org/officeDocument/2006/relationships/hyperlink" Id="rId76"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第534期 - 2017年03月11日</dc:title>
  <dc:creator/>
</cp:coreProperties>
</file>