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第535期</w:t>
      </w:r>
      <w:r>
        <w:t xml:space="preserve"> </w:t>
      </w:r>
      <w:r>
        <w:t xml:space="preserve">-</w:t>
      </w:r>
      <w:r>
        <w:t xml:space="preserve"> </w:t>
      </w:r>
      <w:r>
        <w:t xml:space="preserve">2017年03月25日</w:t>
      </w:r>
    </w:p>
    <w:p>
      <w:hyperlink r:id="rId21">
        <w:r>
          <w:rPr>
            <w:rStyle w:val="Link"/>
          </w:rPr>
          <w:t xml:space="preserve">网络版</w:t>
        </w:r>
      </w:hyperlink>
    </w:p>
    <w:p>
      <w:pPr>
        <w:pStyle w:val="Heading1"/>
      </w:pPr>
      <w:bookmarkStart w:id="22" w:name="中国证监会与香港证监会紧密合作严惩首宗利用沪港通跨境操纵市场案件"/>
      <w:bookmarkEnd w:id="22"/>
      <w:r>
        <w:t xml:space="preserve">中国证监会与香港证监会紧密合作，严惩首宗利用沪港通跨境操纵市场案件</w:t>
      </w:r>
    </w:p>
    <w:p>
      <w:pPr>
        <w:pStyle w:val="Heading2"/>
      </w:pPr>
      <w:bookmarkStart w:id="23" w:name="资本市场"/>
      <w:bookmarkEnd w:id="23"/>
      <w:r>
        <w:t xml:space="preserve">资本市场</w:t>
      </w:r>
    </w:p>
    <w:p>
      <w:pPr>
        <w:pStyle w:val="Heading3"/>
      </w:pPr>
      <w:bookmarkStart w:id="24" w:name="中国证监会与香港证监会紧密合作严惩首宗利用沪港通跨境操纵市场案件-1"/>
      <w:bookmarkEnd w:id="24"/>
      <w:r>
        <w:t xml:space="preserve">中国证监会与香港证监会紧密合作，严惩首宗利用沪港通跨境操纵市场案件</w:t>
      </w:r>
    </w:p>
    <w:p>
      <w:r>
        <w:t xml:space="preserve">近日，中国证监会与香港证监会密切合作，果断出击、迅速查办了唐汉博跨境操纵“小商品城”案，以及唐汉博、唐园子操纵市场案。日前，证监会正式作出行政处罚决定。</w:t>
      </w:r>
    </w:p>
    <w:p>
      <w:r>
        <w:t xml:space="preserve">“沪港通”开通两年多来运行平稳，有力促进了内地与香港资本市场的发展。在内地和香港证券市场互联互通环境下，个别不法投资者绕道境外实施反向操纵，证券期货跨境违法犯罪的手法更加隐蔽。不断加强内地和香港证券期货稽查执法协作，是互联互通的市场机制平稳运行的重要保障。证监会查处的唐汉博跨境操纵“小商品城”案是“沪港通”开通两年来查处的首例跨境操纵市场案件，对打击各类跨境证券违法行为起到了重要的警示作用与示范效应。中国证监会和香港证监会将进一步严格依照两地法律密切合作，坚决打击跨境违法违规行为，切实维护两地资本市场的平稳运行。</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信托部信托公司也可以参与债转股"/>
      <w:bookmarkEnd w:id="27"/>
      <w:r>
        <w:t xml:space="preserve">银监会信托部：信托公司也可以参与债转股</w:t>
      </w:r>
    </w:p>
    <w:p>
      <w:r>
        <w:t xml:space="preserve">全国人大代表、银监会信托部主任邓智毅昨日在接受上证报记者独家采访时透露，信托公司有实施债转股的主体资格，鼓励信托公司尝试参与，目前应该已有信托公司在研究债转股业务试点。</w:t>
      </w:r>
    </w:p>
    <w:p>
      <w:r>
        <w:t xml:space="preserve">根据商业银行法，商业银行不能直接持有工商企业股权。因此，在这轮债转股中，相关银行需要通过第三方平台持有债转股股权，其开展债转股业务的一个路径是新设实施机构。目前，五大国有银行均已提交设立实施机构的申请，并已上报国务院待批。与上一轮政策性债转股相比，这轮债转股更有技术含量，还有事后股权管理，要行使股东权利。</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重拳出击有毒资产污染资本市场"/>
      <w:bookmarkEnd w:id="30"/>
      <w:r>
        <w:t xml:space="preserve">中国证监会：重拳出击有毒资产污染资本市场</w:t>
      </w:r>
    </w:p>
    <w:p>
      <w:r>
        <w:t xml:space="preserve">近日，证监会组织专门执法力量查办了一起涉嫌以虚增收入、虚构银行资产为手段，企图将有毒资产装进上市公司的重大信息披露违法案。由于稽查执法力量的及时介入，此单“忽悠式”重组被遏止在信息披露违法阶段，没有最终得逞，有效避免了有毒资产流入A股市场。</w:t>
      </w:r>
    </w:p>
    <w:p>
      <w:r>
        <w:t xml:space="preserve">经查，浙江九好办公服务集团有限公司（以下简称“九好集团”）通过各种手段虚增2013-2015年服务费收入2.6亿余元，虚增2015年贸易收入57万余元，虚构银行存款3亿元。为掩饰资金缺口，借款购买理财产品或定期存单，并立即为借款方关联公司质押担保。证监会已经向当事人送达行政处罚事先告知书，拟对九好集团等主要责任人员在《证券法》规定的范围内顶格处罚，对本案违法主体罚款合计439万元。</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基金业协会发布私募投资基金服务业务管理办法试行"/>
      <w:bookmarkEnd w:id="33"/>
      <w:r>
        <w:t xml:space="preserve">中国基金业协会发布《私募投资基金服务业务管理办法（试行）》</w:t>
      </w:r>
    </w:p>
    <w:p>
      <w:r>
        <w:t xml:space="preserve">近日，中国证券投资基金业协会发布《私募投资基金服务业务管理办法（试行）》（以下简称《服务办法》），自发布之日起实施，原《基金业务外包服务指引（试行）》（简称《外包指引》）同时废止。</w:t>
      </w:r>
    </w:p>
    <w:p>
      <w:r>
        <w:t xml:space="preserve">《服务办法》分八章，共五十九条，主要思路是明确私募基金服务机构与私募基金管理人的法律关系，梳理服务业务类别（包括基本业务，以及基金份额登记、基金估值核算、信息技术系统等三项重点业务），提出各类业务职责边界，明确登记条件和自律管理要求，引入服务机构的退出机制，引导市场各方各尽其责，打造良好的行业生态。除此之外，《服务办法》还提到服务机构需强化保障募集结算资金安全的制度安排；突出服务业务独立性，防范利益冲突；跟踪并规范基金服务发展新趋势，加强自律管理等。</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圳证券交易所发布创业板led产业链医疗器械行业信息披露指引"/>
      <w:bookmarkEnd w:id="36"/>
      <w:r>
        <w:t xml:space="preserve">深圳证券交易所发布《创业板LED产业链、医疗器械行业信息披露指引》</w:t>
      </w:r>
    </w:p>
    <w:p>
      <w:r>
        <w:t xml:space="preserve">为进一步完善分行业信息披露规则体系，日前深圳证券交易所发布了《创业板LED产业链、医疗器械行业信息披露指引》（以下简称《指引》）。此前，深圳证券交易所已先后发布了创业板广播电影电视、生物医药、光伏、节能环保、互联网游戏、互联网视频等8个行业指引。从市场反馈来看，上述指引的实施效果良好，相关上市公司信息披露的及时性、有效性和可读性、可比性大幅提升，市场对创业板上市公司的研究分析更加方便和深入。</w:t>
      </w:r>
    </w:p>
    <w:p>
      <w:r>
        <w:t xml:space="preserve">本次发布的《指引》，符合国内经济转型升级新形势下对上市公司信息披露的要求。以LED和医疗器械行业为例，目前创业板从事LED产业链相关业务的企业已达11家，从事医疗器械业务的企业已达21家，这些企业在业务模式、盈利方式等方面具有鲜明的行业特点。然而，由于缺乏契合行业特征的信息披露标准，这类上市公司在业务模式、核心竞争力、特有风险等方面的信息披露不够充分，投资者难以有效地对行业状况和公司情况进行全面了解、分析和比较，信息披露规则体系需要进一步补充和完善。</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深圳证券交易所完成首单ppp资产证券化项目论证工作"/>
      <w:bookmarkEnd w:id="39"/>
      <w:r>
        <w:t xml:space="preserve">深圳证券交易所完成首单PPP资产证券化项目论证工作</w:t>
      </w:r>
    </w:p>
    <w:p>
      <w:r>
        <w:t xml:space="preserve">“广发恒进-广晟东江环保虎门绿源PPP项目资产支持专项计划”（以下简称“绿源PPP专项”）获得深圳证券交易正式受理，已完成论证工作，并拟于近期发行。绿源PPP专项是落实《国家发展改革委、中国证监会关于推进传统基础设施领域政府和社会资本合作（PPP）项目资产证券化相关工作的通知》的深交所首单落地项目，也是深交所服务供给侧结构性改革、创新固定收益领域投融资方式的重要体现。</w:t>
      </w:r>
    </w:p>
    <w:p>
      <w:r>
        <w:t xml:space="preserve">专项计划拟发行规模3.2亿元，由广发证券资产管理（广东）有限公司作为管理人，以东莞市虎门绿源水务有限公司污水处理收费收益权作为基础资产。PPP项目运用社会资本发展基础设施建设、公共服务等民生重点领域，具有现金流稳定性较高、资产期限较长的特点，符合资产证券化对于基础资产现金流的相关要求，适应市场投融资双方需要，是开展证券化业务的理想行业。因此，资产证券化被视为盘活PPP项目存量资产、加快社会投资者资金回收、提升PPP发展水平的重要手段。</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吴晓灵证券法主要修订四方面内容"/>
      <w:bookmarkEnd w:id="42"/>
      <w:r>
        <w:t xml:space="preserve">吴晓灵：证券法主要修订四方面内容</w:t>
      </w:r>
    </w:p>
    <w:p>
      <w:r>
        <w:t xml:space="preserve">全国人大代表、全国人大财经委副主任委员吴晓灵近日指出，证券法修订草案一审稿确实对注册制有过一些较明确的表述，但2015年出现了股市异常波动，注册制的实施推迟了。吴晓灵介绍，全国人大对进行注册制试点的授权是两年，要求在试点过程中做中期报告，现在还没有做中期报告。</w:t>
      </w:r>
    </w:p>
    <w:p>
      <w:r>
        <w:t xml:space="preserve">吴晓灵介绍，《证券法》要修订的内容主要包括四方面：一是要完善基本的交易制度，包括证券的发行、交易、登记、结算和退市；二是要为多层次资本市场的发展留下制度空间，为企业更方便地进行股本融资提供渠道；三是要更好地进行投资者保护，对于违法行为的打击力度要增强。对于投资者利益的损失，相关的法律救济渠道和行政救济渠道也会增加；四是进一步明确市场规则。资本市场最核心的是信息的真实、全面的披露，对于虚假信息、价格操纵、内幕交易这些违规行为要严厉打击，提高打击的力度，还要增加监管当局侦查的手段，有利于严肃市场纪律。</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保险"/>
      <w:bookmarkEnd w:id="45"/>
      <w:r>
        <w:t xml:space="preserve">保险</w:t>
      </w:r>
    </w:p>
    <w:p>
      <w:pPr>
        <w:pStyle w:val="Heading3"/>
      </w:pPr>
      <w:bookmarkStart w:id="46" w:name="保监会进一步加强市场准入信息披露工作"/>
      <w:bookmarkEnd w:id="46"/>
      <w:r>
        <w:t xml:space="preserve">保监会进一步加强市场准入信息披露工作</w:t>
      </w:r>
    </w:p>
    <w:p>
      <w:r>
        <w:t xml:space="preserve">近年来，保监会持续加大信息披露监管力度，陆续出台了偿付能力、资金运用、股权信息、关联交易等一系列信息披露制度，不断强化社会公众监督，提高行业透明度建设。目前，保监会已要求所有新申筹保险公司进行预披露。</w:t>
      </w:r>
    </w:p>
    <w:p>
      <w:r>
        <w:t xml:space="preserve">其中，在市场准入监管方面，按照加强保险公司股权信息披露有关事项的通知要求，所有申请筹建的保险公司均需在保监会指定网站上公开预披露筹建方案、投资人资金来源声明、关联关系声明等重要信息，并对披露材料的真实性、准确性负责，以接受外部监督，提高合规水平。预披露是保险公司准入审核的必要环节，与批筹进度无直接关系。所有新申筹保险公司提交申报材料时，都需按要求进行预披露。</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行业"/>
      <w:bookmarkEnd w:id="49"/>
      <w:r>
        <w:t xml:space="preserve">行业</w:t>
      </w:r>
    </w:p>
    <w:p>
      <w:pPr>
        <w:pStyle w:val="Heading3"/>
      </w:pPr>
      <w:bookmarkStart w:id="50" w:name="浙江杭州出台我国首部跨境电商地方性法规"/>
      <w:bookmarkEnd w:id="50"/>
      <w:r>
        <w:t xml:space="preserve">浙江杭州出台我国首部跨境电商地方性法规</w:t>
      </w:r>
    </w:p>
    <w:p>
      <w:r>
        <w:t xml:space="preserve">近日，中国（杭州）跨境电子商务综合试验区召开新闻发布会，对3月1日刚刚实施的《杭州市跨境电子商务促进条例》（以下简称《条例》）进行全面解读，据悉，这是全国首部跨境电商地方性法规。</w:t>
      </w:r>
    </w:p>
    <w:p>
      <w:r>
        <w:t xml:space="preserve">《条例》的出台会为跨境电商企业带来的改变主要体现在两个方面：一是政务服务，条例中强调了关、检、汇、税等部门的协调联动，过去企业通关平均要4个多小时，现在通过单一窗口平均通关时间仅需1分钟，未来企业通关便利化水平将不断提升；二是企业的供应链服务将不断完善，物流、仓储、金融支付、综合服务等相关产业链协同发展，将加快构建起杭州跨境电商生态圈。此外，该《条例》还提到将探索建立跨境电商纠纷专业仲裁机构，完善符合跨境电商特点的适用仲裁规则。</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四部门发文力促科研资金管理改革全面落地"/>
      <w:bookmarkEnd w:id="53"/>
      <w:r>
        <w:t xml:space="preserve">四部门发文力促科研资金管理改革全面落地</w:t>
      </w:r>
    </w:p>
    <w:p>
      <w:r>
        <w:t xml:space="preserve">财政部、科技部、教育部以及国家发展改革委近日向社会联合发布一份关于贯彻中央科研资金管理改革工作的通知，以促进相关政策全面落地，切实增强科研人员的成就感和获得感。</w:t>
      </w:r>
    </w:p>
    <w:p>
      <w:r>
        <w:t xml:space="preserve">在进一步细化科研项目资金管理改革举措方面，通知也作了相关规定。比如，通知明确了结余资金留用的计算起始时间，即自验收结论下达后次年的1月1日起计算。通知还明确了在研项目如何做好新旧政策的衔接，并规范了委托会计师事务所开展的财务审计有关要求。另外，财政部、科技部将持续跟踪改革进展，建立政策落实情况的督查和通报机制。</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民政部发布社会组织抽查暂行办法"/>
      <w:bookmarkEnd w:id="56"/>
      <w:r>
        <w:t xml:space="preserve">民政部发布《社会组织抽查暂行办法》</w:t>
      </w:r>
    </w:p>
    <w:p>
      <w:r>
        <w:t xml:space="preserve">近日，民政部发布《社会组织抽查暂行办法》（以下简称《暂行办法》），《暂行办法》明确，社会组织抽查所需费用由登记管理机关按规定列支，不得向社会组织收取任何费用。</w:t>
      </w:r>
    </w:p>
    <w:p>
      <w:r>
        <w:t xml:space="preserve">《暂行办法》规定，会计师事务所、税务师事务所、律师事务所等专业机构受委托现场开展相关工作时，工作人员不得少于两人，应当出示相关工作证件、检查通知书及委托证明。另外，各级登记管理机关负责开展对本级登记的社会组织抽查工作。登记管理机关与其管辖的社会组织的住所不在一地的，可以委托社会组织住所地的登记管理机关负责委托范围内的抽查工作。</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贵人鸟拟27亿收购威康健身100股权"/>
      <w:bookmarkEnd w:id="60"/>
      <w:r>
        <w:t xml:space="preserve">贵人鸟拟27亿收购威康健身100%股权</w:t>
      </w:r>
    </w:p>
    <w:p>
      <w:r>
        <w:t xml:space="preserve">贵人鸟近日披露预案，拟以24.05元/股价格发行股份及支付现金相结合方式收购威康健身100%股权，交易价格初步确定为27亿元。其中，贵人鸟以发行股份的方式购买威康控股持有的威康健身75%股权，以支付现金方式购买上海昱羽持有的威康健身25%股权。同时，上市公司拟募集配套资金不超过6.75亿元，用于支付本次交易的现金对价。</w:t>
      </w:r>
    </w:p>
    <w:p>
      <w:r>
        <w:t xml:space="preserve">贵人鸟表示，通过本次交易，公司业务范围扩展至体育健身领域，是实现战略升级的关键举措。同时，公司将进一步扩大经营范围，增加主营业务收入来源，降低经营风险；此外，威康健身成为上市公司的全资子公司后，可以借助上市公司的资本、资源优势，加速拓展业务布局，并进一步规范公司治理、提升管理水平、提高市场知名度和影响力，吸引更多的优秀人才，拓展在健身行业的市场份额。</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海南海药实控人发起要约收购"/>
      <w:bookmarkEnd w:id="63"/>
      <w:r>
        <w:t xml:space="preserve">海南海药实控人发起要约收购</w:t>
      </w:r>
    </w:p>
    <w:p>
      <w:r>
        <w:t xml:space="preserve">海南海药于2017年3月12日晚公告称，公司实控人刘悉承拟发起要约收购，要约收购股份数量为1.34亿股，占海南海药总股本的10%，收购价格为14.50元/股。本次要约收购完成后，收购人直接和间接最多合计持有海南海药44.08%的股份。</w:t>
      </w:r>
    </w:p>
    <w:p>
      <w:r>
        <w:t xml:space="preserve">公告显示，本次要约收购所需最高资金总额为19.37亿元。收购所需资金将来源于收购人自有资金或自筹资金以及信托融资，不直接或间接来源于海南海药及其下属公司。本次要约收购为收购人自愿发起的部分要约收购，旨在进一步加强对海南海药的控制力，不以终止海南海药上市地位为目的。</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三圣股份拟以5.38亿收购春瑞医化60股权"/>
      <w:bookmarkEnd w:id="66"/>
      <w:r>
        <w:t xml:space="preserve">三圣股份拟以5.38亿收购春瑞医化60%股权</w:t>
      </w:r>
    </w:p>
    <w:p>
      <w:r>
        <w:t xml:space="preserve">2017年3月13日，三圣股份公告称，其拟以5.38亿元收购春瑞医化182位自然人股东合计持有的春瑞医化60%股权。此前三圣股份已持有春瑞医化12%股权。</w:t>
      </w:r>
    </w:p>
    <w:p>
      <w:r>
        <w:t xml:space="preserve">据了解，以建材化工为主业的三圣股份长期专注于石膏（主要成分为CaSO4）综合利用的研究和产品开发。2016年年报显示，三圣股份期内减水剂营收同比减少17.42%，硫酸营收同比减少64.50%。三圣股份在公告中也坦承，近年建材化工行业产能过剩、竞争加剧，行业企业普遍面临困境，盈利状况难言乐观。</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深圳惠程拟19.6亿收购群立世纪和哆可梦"/>
      <w:bookmarkEnd w:id="69"/>
      <w:r>
        <w:t xml:space="preserve">深圳惠程拟19.6亿收购群立世纪和哆可梦</w:t>
      </w:r>
    </w:p>
    <w:p>
      <w:r>
        <w:t xml:space="preserve">正在停牌的深圳惠程近日披露了重大资产收购暨关联交易方案，公司拟斥资19.6亿元现金收购群立世纪55.00%股权及哆可梦77.57%股权。此前，深圳惠程已经将群立世纪45%股权及哆可梦22.43%股权揽入怀中。如此次收购顺利完成，深圳惠程将对两家公司实现完全控股。</w:t>
      </w:r>
    </w:p>
    <w:p>
      <w:r>
        <w:t xml:space="preserve">根据预案，深圳惠程表示，拟用于本次交易的资金为自有资金或自筹资金，其中自有资金主要为货币资金及变现能力较强的金融资产，自筹资金拟通过银行或信托等合法合规方式取得。自有资金和自筹资金的使用不影响上市公司正常生产经营活动和业务拓展的资金需求。</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第535期 - 2017年03月25日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4513c3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zhong-guo-zheng-jian-hui-yu-xiang-gang-zheng-jian-hui-jin-mi-he-zuo-yan-cheng-shou-zong-li-yong-hu-gang-tong-kua-jing-cao-zong-shi-chang-an-jian/"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1" Target="http://company.stcn.com/2017/0313/13105687.shtml" TargetMode="External" /><Relationship Type="http://schemas.openxmlformats.org/officeDocument/2006/relationships/hyperlink" Id="rId64" Target="http://company.stcn.com/2017/0313/13105690.shtml" TargetMode="External" /><Relationship Type="http://schemas.openxmlformats.org/officeDocument/2006/relationships/hyperlink" Id="rId67" Target="http://company.stcn.com/2017/0314/13108985.shtml" TargetMode="External" /><Relationship Type="http://schemas.openxmlformats.org/officeDocument/2006/relationships/hyperlink" Id="rId70" Target="http://company.stcn.com/2017/0315/13111859.shtml" TargetMode="External" /><Relationship Type="http://schemas.openxmlformats.org/officeDocument/2006/relationships/hyperlink" Id="rId34" Target="http://money.163.com/17/0302/07/CEGNV10N002580S6.html#from=relevant" TargetMode="External" /><Relationship Type="http://schemas.openxmlformats.org/officeDocument/2006/relationships/hyperlink" Id="rId57" Target="http://news.cnr.cn/native/gd/20170315/t20170315_523657463.shtml" TargetMode="External" /><Relationship Type="http://schemas.openxmlformats.org/officeDocument/2006/relationships/hyperlink" Id="rId54" Target="http://news.xinhuanet.com/politics/2017-03/10/c_1120606638.htm" TargetMode="External" /><Relationship Type="http://schemas.openxmlformats.org/officeDocument/2006/relationships/hyperlink" Id="rId43" Target="http://www.chinaforex.com.cn/index.php/cms/item-view-id-42731.shtml" TargetMode="External" /><Relationship Type="http://schemas.openxmlformats.org/officeDocument/2006/relationships/hyperlink" Id="rId28" Target="http://www.chinaforex.com.cn/index.php/cms/item-view-id-42736.shtml" TargetMode="External" /><Relationship Type="http://schemas.openxmlformats.org/officeDocument/2006/relationships/hyperlink" Id="rId51" Target="http://www.chinalawinfo.com/News/NewsFullText.aspx?NewsId=84773&amp;NewsType=1" TargetMode="External" /><Relationship Type="http://schemas.openxmlformats.org/officeDocument/2006/relationships/hyperlink" Id="rId47" Target="http://www.circ.gov.cn/web/site0/tab5168/info4061781.htm" TargetMode="External" /><Relationship Type="http://schemas.openxmlformats.org/officeDocument/2006/relationships/hyperlink" Id="rId31" Target="http://www.csrc.gov.cn/pub/newsite/zjhxwfb/xwdd/201703/t20170310_313451.html" TargetMode="External" /><Relationship Type="http://schemas.openxmlformats.org/officeDocument/2006/relationships/hyperlink" Id="rId25" Target="http://www.csrc.gov.cn/pub/newsite/zjhxwfb/xwdd/201703/t20170310_313452.html" TargetMode="External" /><Relationship Type="http://schemas.openxmlformats.org/officeDocument/2006/relationships/hyperlink" Id="rId40" Target="http://www.szse.cn/main/aboutus/bsyw/39766746.shtml" TargetMode="External" /><Relationship Type="http://schemas.openxmlformats.org/officeDocument/2006/relationships/hyperlink" Id="rId37" Target="http://www.szse.cn/main/aboutus/bsyw/39766783.s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zhong-guo-zheng-jian-hui-yu-xiang-gang-zheng-jian-hui-jin-mi-he-zuo-yan-cheng-shou-zong-li-yong-hu-gang-tong-kua-jing-cao-zong-shi-chang-an-jian/"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1" Target="http://company.stcn.com/2017/0313/13105687.shtml" TargetMode="External" /><Relationship Type="http://schemas.openxmlformats.org/officeDocument/2006/relationships/hyperlink" Id="rId64" Target="http://company.stcn.com/2017/0313/13105690.shtml" TargetMode="External" /><Relationship Type="http://schemas.openxmlformats.org/officeDocument/2006/relationships/hyperlink" Id="rId67" Target="http://company.stcn.com/2017/0314/13108985.shtml" TargetMode="External" /><Relationship Type="http://schemas.openxmlformats.org/officeDocument/2006/relationships/hyperlink" Id="rId70" Target="http://company.stcn.com/2017/0315/13111859.shtml" TargetMode="External" /><Relationship Type="http://schemas.openxmlformats.org/officeDocument/2006/relationships/hyperlink" Id="rId34" Target="http://money.163.com/17/0302/07/CEGNV10N002580S6.html#from=relevant" TargetMode="External" /><Relationship Type="http://schemas.openxmlformats.org/officeDocument/2006/relationships/hyperlink" Id="rId57" Target="http://news.cnr.cn/native/gd/20170315/t20170315_523657463.shtml" TargetMode="External" /><Relationship Type="http://schemas.openxmlformats.org/officeDocument/2006/relationships/hyperlink" Id="rId54" Target="http://news.xinhuanet.com/politics/2017-03/10/c_1120606638.htm" TargetMode="External" /><Relationship Type="http://schemas.openxmlformats.org/officeDocument/2006/relationships/hyperlink" Id="rId43" Target="http://www.chinaforex.com.cn/index.php/cms/item-view-id-42731.shtml" TargetMode="External" /><Relationship Type="http://schemas.openxmlformats.org/officeDocument/2006/relationships/hyperlink" Id="rId28" Target="http://www.chinaforex.com.cn/index.php/cms/item-view-id-42736.shtml" TargetMode="External" /><Relationship Type="http://schemas.openxmlformats.org/officeDocument/2006/relationships/hyperlink" Id="rId51" Target="http://www.chinalawinfo.com/News/NewsFullText.aspx?NewsId=84773&amp;NewsType=1" TargetMode="External" /><Relationship Type="http://schemas.openxmlformats.org/officeDocument/2006/relationships/hyperlink" Id="rId47" Target="http://www.circ.gov.cn/web/site0/tab5168/info4061781.htm" TargetMode="External" /><Relationship Type="http://schemas.openxmlformats.org/officeDocument/2006/relationships/hyperlink" Id="rId31" Target="http://www.csrc.gov.cn/pub/newsite/zjhxwfb/xwdd/201703/t20170310_313451.html" TargetMode="External" /><Relationship Type="http://schemas.openxmlformats.org/officeDocument/2006/relationships/hyperlink" Id="rId25" Target="http://www.csrc.gov.cn/pub/newsite/zjhxwfb/xwdd/201703/t20170310_313452.html" TargetMode="External" /><Relationship Type="http://schemas.openxmlformats.org/officeDocument/2006/relationships/hyperlink" Id="rId40" Target="http://www.szse.cn/main/aboutus/bsyw/39766746.shtml" TargetMode="External" /><Relationship Type="http://schemas.openxmlformats.org/officeDocument/2006/relationships/hyperlink" Id="rId37" Target="http://www.szse.cn/main/aboutus/bsyw/39766783.s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第535期 - 2017年03月25日</dc:title>
  <dc:creator/>
</cp:coreProperties>
</file>