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第537期</w:t>
      </w:r>
      <w:r>
        <w:t xml:space="preserve"> </w:t>
      </w:r>
      <w:r>
        <w:t xml:space="preserve">-</w:t>
      </w:r>
      <w:r>
        <w:t xml:space="preserve"> </w:t>
      </w:r>
      <w:r>
        <w:t xml:space="preserve">2017年03月31日</w:t>
      </w:r>
    </w:p>
    <w:p>
      <w:hyperlink r:id="rId21">
        <w:r>
          <w:rPr>
            <w:rStyle w:val="Link"/>
          </w:rPr>
          <w:t xml:space="preserve">网络版</w:t>
        </w:r>
      </w:hyperlink>
    </w:p>
    <w:p>
      <w:pPr>
        <w:pStyle w:val="Heading1"/>
      </w:pPr>
      <w:bookmarkStart w:id="22" w:name="中财-国证绿色债券系列指数发布"/>
      <w:bookmarkEnd w:id="22"/>
      <w:r>
        <w:t xml:space="preserve">中财-国证绿色债券系列指数发布</w:t>
      </w:r>
    </w:p>
    <w:p>
      <w:pPr>
        <w:pStyle w:val="Heading2"/>
      </w:pPr>
      <w:bookmarkStart w:id="23" w:name="资本市场"/>
      <w:bookmarkEnd w:id="23"/>
      <w:r>
        <w:t xml:space="preserve">资本市场</w:t>
      </w:r>
    </w:p>
    <w:p>
      <w:pPr>
        <w:pStyle w:val="Heading3"/>
      </w:pPr>
      <w:bookmarkStart w:id="24" w:name="中财-国证绿色债券系列指数发布-1"/>
      <w:bookmarkEnd w:id="24"/>
      <w:r>
        <w:t xml:space="preserve">中财-国证绿色债券系列指数发布</w:t>
      </w:r>
    </w:p>
    <w:p>
      <w:r>
        <w:t xml:space="preserve">近日，由深圳证券交易所下属公司深圳证券信息公司与中央财经大学绿色金融国际研究院联合推出首只在中国和欧洲两地同步发布行情的中国绿色债券指数——“中财-国证绿色债券指数”，为中国绿色债券提供新的市场标尺和投资工具。</w:t>
      </w:r>
    </w:p>
    <w:p>
      <w:r>
        <w:t xml:space="preserve">“中财-国证绿色债券系列指数”包括高等级绿色债券、高等级贴标绿债、高等级非贴标绿债等9条指数，通过深交所与卢森堡交易所同步揭示行情。中财-国证绿色债券指数”是两所深化多领域跨境合作的又一成果，也是两所共同推动中国绿色金融国际化的积极探索，双方将联合推动相关绿色指数基金产品在中国与欧洲市场挂牌。作为首只实现跨境同步展示的中国绿色债券指数，该指数的发布将有助于提升我国绿色金融的国际影响力，吸引海外投资者参与我国绿色金融体系建设并促进绿色产业发展。</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中国债务风险可控尚无开征资本利得税计划"/>
      <w:bookmarkEnd w:id="27"/>
      <w:r>
        <w:t xml:space="preserve">中国债务风险可控，尚无开征资本利得税计划</w:t>
      </w:r>
    </w:p>
    <w:p>
      <w:r>
        <w:t xml:space="preserve">近日，财政部副部长刘伟在博鳌亚洲论坛2017年年会“财政政策的空间”分论坛上表示，“我国的债务风险是可控的。”他指出，如果PPP项目运营不当，合同无法执行，最后交给政府，这势必会增加政府债务。谈到资本利得税方面，刘伟明确表示中央政府目前还没有这个计划。</w:t>
      </w:r>
    </w:p>
    <w:p>
      <w:r>
        <w:t xml:space="preserve">资本利得税，是对资本利得（低买高卖资产所获收益）征税。常见的资本利得如买卖股票、债券、贵金属和房地产等所获得的收益，但并不是所有国家都会征收资本利得税。 对于地方债务管控，刘伟说道，债务必须要在人大批准的限额以内，比如地方政府债务规模的限额是18万亿元，去年年底地方政府债务规模为15.3万亿元。此外，新增的预算必须要纳入当年的年度预算，接受人大的监督。</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中国证监会副主席方星海正研究上市公司强制性环境信息披露制度"/>
      <w:bookmarkEnd w:id="30"/>
      <w:r>
        <w:t xml:space="preserve">中国证监会副主席方星海：正研究上市公司强制性环境信息披露制度</w:t>
      </w:r>
    </w:p>
    <w:p>
      <w:r>
        <w:t xml:space="preserve">中国证监会副主席方星海于2017年3月25日在参加博鳌亚洲论坛2017年年会“金融业的‘绿色革命’”分论坛时表示，证监会各部门的认识高度一致，会尽最大努力推进绿色金融的发展。</w:t>
      </w:r>
    </w:p>
    <w:p>
      <w:r>
        <w:t xml:space="preserve">绿色，是中央提出的五大发展理念之一。在经济结构调整和发展方式转变的关键时期，绿色产业和经济快速发展，相应地对绿色金融的需求也不断扩大。方星海表示：“经过连续几年的披露，投资者就能比较属于重点排污单位的上市公司在减排上是否有所改进。目前，我们正在研究将环保信息的强制披露制度推广到所有上市公司。”</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多举措引导现金分红深市上市公司分红占比已超七成"/>
      <w:bookmarkEnd w:id="33"/>
      <w:r>
        <w:t xml:space="preserve">多举措引导现金分红，深市上市公司分红占比已超七成</w:t>
      </w:r>
    </w:p>
    <w:p>
      <w:r>
        <w:t xml:space="preserve">在监管部门多举措引导下，深市上市公司现金分红情况持续改善，现金分红占净利润比例和家数逐年上升。统计数据显示，2013-2015年，深市公司三年累计实现现金分红达3910.82亿元，分红家数占上市公司总数均在70%以上。</w:t>
      </w:r>
    </w:p>
    <w:p>
      <w:r>
        <w:t xml:space="preserve">深交所历来重视引导和规范上市公司现金分红，目前已取得显著成效。统计数据显示，2013-2015年，深市上市公司现金分红情况持续改善，现金分红总额、现金分红占净利润比例和现金分红均值逐年上升。深交所相关负责人表示，深交所将以信息披露为抓手，继续推动和规范上市公司现金分红，同时强化对不分红、少分红以及通过“高送转”题材进行市场炒作等违规行为的监管，通过市场传导机制，进一步优化资本市场资源配置，实现上市公司、投资者和市场各方的共赢。</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外管局局长潘功胜企业债券占直接融资比重达80"/>
      <w:bookmarkEnd w:id="36"/>
      <w:r>
        <w:t xml:space="preserve">外管局局长潘功胜：企业债券占直接融资比重达80%</w:t>
      </w:r>
    </w:p>
    <w:p>
      <w:r>
        <w:t xml:space="preserve">外管局局长潘功胜在2017年中国金融学会学术年会暨中国金融论坛年会上表示，近年来中国债券市场发展较快，形成了多样化的债券品种结构、多元化的投资者结构、较为完善的债券市场基础设施。债券市场发展推动了中国整个金融市场结构改革。十几年的时间，中国社会融资规模和结构都发生了很大变化，2002年，企业债券只占整个社会融资规模的1.8%，到2016年增长到16.8%，企业债券占直接融资比重达80%。</w:t>
      </w:r>
    </w:p>
    <w:p>
      <w:r>
        <w:t xml:space="preserve">债券市场对外开放是中国金融市场对外开放的重要组成部分，对推动人民币的国际化、丰富人民币国际使用具有很大意义。近年来人民币国际化使用发展速度比较快，从支付结算的功能逐渐走向投资交易和储备资产的功能。中国债券市场对外开放满足境外机构对人民币资产配置的需求，具有十分重要的意义。近年来，人民银行、外汇局在放松市场准入管理、取消额度限制、丰富风险对冲工具、便利跨境资金汇兑等政策方面，均进行了较大幅度的调整改革。</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2"/>
      </w:pPr>
      <w:bookmarkStart w:id="39" w:name="保险"/>
      <w:bookmarkEnd w:id="39"/>
      <w:r>
        <w:t xml:space="preserve">保险</w:t>
      </w:r>
    </w:p>
    <w:p>
      <w:pPr>
        <w:pStyle w:val="Heading3"/>
      </w:pPr>
      <w:bookmarkStart w:id="40" w:name="中国保监会召开2017年全国保险中介监管工作会议"/>
      <w:bookmarkEnd w:id="40"/>
      <w:r>
        <w:t xml:space="preserve">中国保监会召开2017年全国保险中介监管工作会议</w:t>
      </w:r>
    </w:p>
    <w:p>
      <w:r>
        <w:t xml:space="preserve">中国保监会近日召开2017年全国保险中介监管工作会议，会议总结了保险中介监管工作的成效和经验，分析了当前保险中介监管面临的新形势、新挑战和新要求，谋划并明确部署了2017年及今后一个时期的保险中介监管工作。</w:t>
      </w:r>
    </w:p>
    <w:p>
      <w:r>
        <w:t xml:space="preserve">会议明确，2017年保险中介监管工作要切实抓好以下体系建设，其中包括以健全制度机制为重点，推进《保险代理人监管规定》《保险经纪人监管规定》《保险公估人监管规定》三部规章和行业组织平台、信息平台、保险中介风险承接平台三个平台建设，形成管长治本的中介管理体系；加强专业中介机构出资人、保险中介法人、保险中介从业人员管理为关键，形成有力有效的风险防控体系；以现场检查为抓手，发挥好联动和延伸检查作用、完成好既定现场检查项目、关注保险中介领域涉及廉政的违法违规行为，形成具有威慑力的市场行为监管体系。</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第十二届亚洲保险监督官论坛年会在新加坡成功召开"/>
      <w:bookmarkEnd w:id="43"/>
      <w:r>
        <w:t xml:space="preserve">第十二届亚洲保险监督官论坛年会在新加坡成功召开</w:t>
      </w:r>
    </w:p>
    <w:p>
      <w:r>
        <w:t xml:space="preserve">近日，中国保监会派代表出席了在新加坡举行的第十二届亚洲保险监督官论坛（AFIR）年会。期间，中国保监会作为轮值主席和秘书处主持召开了第一次AFIR成员会议。来自澳大利亚、印度、新加坡、泰国、韩国、日本等20个AFIR成员国家和地区的保险监管机构高级官员，以及来自国际保险监督官协会、全美保险监督官协会、亚洲发展银行、经济合作与发展组织等国际组织的代表出席了本次会议。</w:t>
      </w:r>
    </w:p>
    <w:p>
      <w:r>
        <w:t xml:space="preserve">亚洲保险监督官论坛由中国保监会于2005年首倡建立，迄今已成功举办12届年会。会议期间，发言代表介绍了各自保险市场发展及监管改革情况，分享了国际保险监督官协会保险资本标准制定及新兴市场等工作的最新进展，并就巨灾保险、保险业创新、保险监管创新以及如何应对网络风险的挑战等议题深入交流了经验。成员会议通过了由中国香港承办2018年AFIR年会的提议。</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2"/>
      </w:pPr>
      <w:bookmarkStart w:id="46" w:name="知识产权"/>
      <w:bookmarkEnd w:id="46"/>
      <w:r>
        <w:t xml:space="preserve">知识产权</w:t>
      </w:r>
    </w:p>
    <w:p>
      <w:pPr>
        <w:pStyle w:val="Heading3"/>
      </w:pPr>
      <w:bookmarkStart w:id="47" w:name="国务院印发关于新形势下加强打击侵犯知识产权和制售假冒伪劣商品工作的意见"/>
      <w:bookmarkEnd w:id="47"/>
      <w:r>
        <w:t xml:space="preserve">国务院印发《关于新形势下加强打击侵犯知识产权和制售假冒伪劣商品工作的意见》</w:t>
      </w:r>
    </w:p>
    <w:p>
      <w:r>
        <w:t xml:space="preserve">国务院日前印发《关于新形势下加强打击侵犯知识产权和制售假冒伪劣商品工作的意见》（以下简称《意见》），部署进一步加强打击侵权假冒工作，保障国家知识产权战略深入实施，维护公平竞争的市场秩序，完善法治化、国际化、便利化的营商环境。</w:t>
      </w:r>
    </w:p>
    <w:p>
      <w:r>
        <w:t xml:space="preserve">《意见》提出，要针对违法犯罪活动链条化、组织化和跨区域、跨行业等新趋势、新特点，推进综合治理，对侵权假冒商品的生产、流通、销售形成全链条打击。一是加强部门间执法协作，健全行政执法与刑事司法衔接机制，明确权力清单，堵塞监管漏洞。二是推进区域间执法联动，探索建立跨区域联席会议、线索通报、证据移转、案件协查、联合办案以及检验鉴定结果互认等制度。三是扩大执法办案的国际交流合作，积极开展知识产权海外维权。</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2"/>
      </w:pPr>
      <w:bookmarkStart w:id="50" w:name="行业"/>
      <w:bookmarkEnd w:id="50"/>
      <w:r>
        <w:t xml:space="preserve">行业</w:t>
      </w:r>
    </w:p>
    <w:p>
      <w:pPr>
        <w:pStyle w:val="Heading3"/>
      </w:pPr>
      <w:bookmarkStart w:id="51" w:name="中国人民银行海关总署等33部门联手惩戒进出口失信企业"/>
      <w:bookmarkEnd w:id="51"/>
      <w:r>
        <w:t xml:space="preserve">中国人民银行、海关总署等33部门联手惩戒进出口失信企业</w:t>
      </w:r>
    </w:p>
    <w:p>
      <w:r>
        <w:t xml:space="preserve">2017年3月28日，中国人民银行、海关总署、国家发展改革委等33个部门联合签署的《关于对海关失信企业实施联合惩戒的合作备忘录》（简称“合作备忘录”）正式对外发布。根据该合作备忘录，进出口失信企业将“一处失信，处处受限”，包括进出口配额限制、外汇额度等将成为惩戒参考。</w:t>
      </w:r>
    </w:p>
    <w:p>
      <w:r>
        <w:t xml:space="preserve">据介绍，合作备忘录从执法管理、市场准入、行业规范、社会认同等不同角度细化、量化出39条惩戒清单，涵盖工商、税务、质检、金融、环保、司法等多个重点领域。具体而言，失信企业将被纳入黑名单，失信企业还将受到包括税务部门加强出口退税审核检查。此外，限制性管理措施包括：公安部门阻止失信企业法定代表人（负责人）出境，财政部门依法限制失信企业参与政府采购活动等。惩戒参考类措施包括：商务部门、国家发改委等部门的进出口配额分配限制参考，外汇管理部门的外汇额度核准与管理参考，人民银行和银监部门的融资、授信依据或参考等。</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出境入境边防检查条例修订草案征求意见"/>
      <w:bookmarkEnd w:id="54"/>
      <w:r>
        <w:t xml:space="preserve">出境入境边防检查条例修订草案征求意见</w:t>
      </w:r>
    </w:p>
    <w:p>
      <w:r>
        <w:t xml:space="preserve">国务院法制办近日就《中华人民共和国出境入境边防检查条例（修订草案）（送审稿）》（以下简称《条例》）征求意见。《条例》增加了“交通运输工具负责人应当采取合理措施，防止载运未持有效出境入境证件的人员，防止未经出境检查的人员搭乘交通运输工具出境，确保载运入境的人员接受边防检查，并教育和监督员工遵守中华人民共和国的法律、行政法规”的规定。</w:t>
      </w:r>
    </w:p>
    <w:p>
      <w:r>
        <w:t xml:space="preserve">《条例》对外国人临时入境制度进行了细化完善，进一步明确了申请临时入境的事由、申请和审批的程序、不予批准临时入境许可的情形、临时入境人员的义务以及担保措施等事项。《条例》不再保留“阻止出境入境”的提法，并作了适当完善：明确出境入境人员应当提交本人有效的出境入境证件，接受询问并履行相关手续，经边检机关查验准许后，方可出境入境；规定出境入境人员具有相关法律、行政法规规定不准出境入境情形的，边检机关有权不准其出境入境。</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全国律师协会发布维护律师执业权利规则等三个文件"/>
      <w:bookmarkEnd w:id="57"/>
      <w:r>
        <w:t xml:space="preserve">全国律师协会发布维护律师执业权利规则等三个文件</w:t>
      </w:r>
    </w:p>
    <w:p>
      <w:r>
        <w:t xml:space="preserve">在全国律师协会召开的首场新闻发布会上，全国律协通报了《律师协会维护律师执业权利规则（试行）》、《律师执业行为规范》、《律师协会会员违规行为处分规则（试行）》三个文件，清晰界定了律协维护律师执业权利工作的主要职责及分工、明晰了律师执业行为边界、完善了纪律处分的情形与适用。</w:t>
      </w:r>
    </w:p>
    <w:p>
      <w:r>
        <w:t xml:space="preserve">维权规则明确规定了律师在执业过程中遇有知情权、申请权、申诉权、控告权，以及会见、通信、阅卷、收集证据和发问、质证、辩论、提出法律意见等合法执业权利受到限制、阻碍、侵害、剥夺的；受到侮辱、诽谤、威胁、报复、人身伤害的；在法庭审理过程中，被违反规定打断或者制止按程序发言的；被违反规定强行带出法庭的；被非法关押、扣留、拘禁或者以其他方式限制人身自由的，以及其他妨碍其依法履行辩护、代理职责，侵犯其执业权利的情形，向所属的律师协会申请维护执业权利，律师协会应当受理。</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2"/>
      </w:pPr>
      <w:bookmarkStart w:id="60" w:name="并购"/>
      <w:bookmarkEnd w:id="60"/>
      <w:r>
        <w:t xml:space="preserve">并购</w:t>
      </w:r>
    </w:p>
    <w:p>
      <w:pPr>
        <w:pStyle w:val="Heading3"/>
      </w:pPr>
      <w:bookmarkStart w:id="61" w:name="南都电源拟以19.6亿收购华铂科技剩余股份"/>
      <w:bookmarkEnd w:id="61"/>
      <w:r>
        <w:t xml:space="preserve">南都电源拟以19.6亿收购华铂科技剩余股份</w:t>
      </w:r>
    </w:p>
    <w:p>
      <w:r>
        <w:t xml:space="preserve">南都电源于2017年3月26日晚间公告称，拟以发行股份+现金的方式作价19.6亿元收购华铂科技49%的股份，同时拟募集不超过5亿元的配套资金。本次收购后，华铂科技将成为公司全资子公司。公司股票暂不复牌。</w:t>
      </w:r>
    </w:p>
    <w:p>
      <w:r>
        <w:t xml:space="preserve">公告显示，公司将以非公开发行股份方式支付147000万元，以现金方式支付49000万元。本次募集配套资金总额不超过50000万元，用于支付本次交易的现金对价部分、本次交易中介机构费用及相关税费。发行股票定价方面，购买资产股份发行价格为17.93元/股，募集配套资金发行价格采用发行期首日或发行期前二十日均价的90%中询价的方式确定。</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3"/>
      </w:pPr>
      <w:bookmarkStart w:id="64" w:name="中国宝安拟全面要约收购国际精密"/>
      <w:bookmarkEnd w:id="64"/>
      <w:r>
        <w:t xml:space="preserve">中国宝安拟全面要约收购国际精密</w:t>
      </w:r>
    </w:p>
    <w:p>
      <w:r>
        <w:t xml:space="preserve">中国宝安集团股份有限公司（以下简称“中国宝安”）发出公告，2017 年3月27日，公司召开第十三届董事局第九次会议审议通过了《关于全资子公司拟无条件全面要约收购国际精密集团有限公司股权的议案》，宝安科技拟以每股1.95港元的价格无条件全面要约收购国际精密集团有限公司（以下简称“国际精密”）股权，并拟注销目标公司尚未行使的全部期权，注销价格根据要约价与期权行使价的差额来确定。</w:t>
      </w:r>
    </w:p>
    <w:p>
      <w:r>
        <w:t xml:space="preserve">中国宝安表示，本次无条件全面要约收购是基于对目标公司投资价值和发展前景的看好，进一步增持目标公司的股份至控股地位，加强管理效率，为本集团产业经营和运作提供新的空间和平台，有助于扩大本集团产业的规模和盈利水平。但若收购成功后，未能妥善处理好地域、人文、理念、机制体制等方面的差异，也会带来后续经营、管理及整合方面的风险。</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3"/>
      </w:pPr>
      <w:bookmarkStart w:id="67" w:name="全聚德拟收购北京汤城小厨"/>
      <w:bookmarkEnd w:id="67"/>
      <w:r>
        <w:t xml:space="preserve">全聚德拟收购北京汤城小厨</w:t>
      </w:r>
    </w:p>
    <w:p>
      <w:r>
        <w:t xml:space="preserve">全聚德于2017年3月27日下午发布公告显示，拟收购北京汤城小厨餐饮管理有限公司（以下简称“汤城小厨”）股权，该交易若完成，汤城小厨将成为全聚德旗下的控股子公司。对于此次拟收购汤城小厨，全聚德也表示，汤城小厨作为较有特色的休闲餐饮品牌，能够扩充全聚德现有的业务模式，补充全聚德的休闲餐饮新业态。</w:t>
      </w:r>
    </w:p>
    <w:p>
      <w:r>
        <w:t xml:space="preserve">根据公告显示，全聚德在2017年3月24日与汤城小厨的自然人股东黄俊宇等以及天津天图兴华股权投资合伙企业、深圳天图股权投资基金管理企业签署了《中国全聚德（集团）股份有限公司收购北京汤城小厨餐饮管理有限公司股权之意向书》（以下简称“意向书”），拟收购上述自然人及企业所持有的汤城小厨一定比例的股权，双方交易的价格、盈利承诺等具体事项仍需要进一步协商后确定。与此同时，在意向书签订后，全聚德将就汤城小厨业务、法律、财务等方面进行调查，调查结果经双方协商一致后签署正式收购协议。</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腾讯以17.78亿美元收购特斯拉816.75万股股票"/>
      <w:bookmarkEnd w:id="70"/>
      <w:r>
        <w:t xml:space="preserve">腾讯以17.78亿美元收购特斯拉816.75万股股票</w:t>
      </w:r>
    </w:p>
    <w:p>
      <w:r>
        <w:t xml:space="preserve">近日，腾讯通过旗下黄河投资（Huang River Investment Limited）以17.78亿美元在公开市场收购了特斯拉816.75万股股票，占股5%，成为特斯拉的第五大股东，约合每股217.67美元。近几年腾讯已先后在互联网造车、人工智能等领域进行了大量布局。而与特斯拉的深度关系将为腾讯在自动驾驶和电动汽车领域的发展进一步打开局面。</w:t>
      </w:r>
    </w:p>
    <w:p>
      <w:r>
        <w:t xml:space="preserve">腾讯公司表示，特斯拉CEO马斯克先生是创业者的典范，特斯拉也是电动汽车、无人驾驶、共享车辆、可持续能源生产等新技术的全球先驱。腾讯也一直在推动生态共赢，希望通过鼓励内部创新和以资本支持新兴科技产业的方式，为世界更美好的将来添一分力。 腾讯入股特斯拉有望进一步刺激国内科技巨头投资互联网汽车步伐，相关产业链如互联网汽车、新能源汽车、自动驾驶等上市公司均有望获益。</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3">
        <w:r>
          <w:rPr>
            <w:rStyle w:val="Link"/>
          </w:rPr>
          <w:t xml:space="preserve">unsubscribe@charltonslaw.com</w:t>
        </w:r>
      </w:hyperlink>
    </w:p>
    <w:p>
      <w:r>
        <w:rPr>
          <w:b/>
        </w:rPr>
        <w:t xml:space="preserve">易周律师行 - 法讯 - 中国 - 第537期 - 2017年03月31日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e3f3749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www.charltonslaw.com.cn/china-news-alerts-cn-issue-537/" TargetMode="Externa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65" Target="http://company.cnstock.com/company/scp_gsxw/201703/4055755.htm" TargetMode="External" /><Relationship Type="http://schemas.openxmlformats.org/officeDocument/2006/relationships/hyperlink" Id="rId62" Target="http://company.stcn.com/2017/0327/13174408.shtml" TargetMode="External" /><Relationship Type="http://schemas.openxmlformats.org/officeDocument/2006/relationships/hyperlink" Id="rId71" Target="http://kuaixun.stcn.com/2017/0329/13182961.shtml" TargetMode="External" /><Relationship Type="http://schemas.openxmlformats.org/officeDocument/2006/relationships/hyperlink" Id="rId48" Target="http://www.chinacourt.org/article/detail/2017/03/id/2630596.shtml" TargetMode="External" /><Relationship Type="http://schemas.openxmlformats.org/officeDocument/2006/relationships/hyperlink" Id="rId37" Target="http://www.chinaforex.com.cn/index.php/cms/item-view-id-42838.shtml" TargetMode="External" /><Relationship Type="http://schemas.openxmlformats.org/officeDocument/2006/relationships/hyperlink" Id="rId31" Target="http://www.chinaforex.com.cn/index.php/cms/item-view-id-42840.shtml" TargetMode="External" /><Relationship Type="http://schemas.openxmlformats.org/officeDocument/2006/relationships/hyperlink" Id="rId28" Target="http://www.chinaforex.com.cn/index.php/cms/item-view-id-42847.shtml" TargetMode="External" /><Relationship Type="http://schemas.openxmlformats.org/officeDocument/2006/relationships/hyperlink" Id="rId52" Target="http://www.chinaforex.com.cn/index.php/cms/item-view-id-42884.shtml" TargetMode="External" /><Relationship Type="http://schemas.openxmlformats.org/officeDocument/2006/relationships/hyperlink" Id="rId44" Target="http://www.circ.gov.cn/web/site0/tab5168/info4063176.htm" TargetMode="External" /><Relationship Type="http://schemas.openxmlformats.org/officeDocument/2006/relationships/hyperlink" Id="rId41" Target="http://www.circ.gov.cn/web/site0/tab5168/info4063273.htm" TargetMode="External" /><Relationship Type="http://schemas.openxmlformats.org/officeDocument/2006/relationships/hyperlink" Id="rId58" Target="http://www.legaldaily.com.cn/index/content/2017-03/24/content_7067798.htm?node=20908" TargetMode="External" /><Relationship Type="http://schemas.openxmlformats.org/officeDocument/2006/relationships/hyperlink" Id="rId55" Target="http://www.legaldaily.com.cn/index/content/2017-03/24/content_7068003.htm?node=20908" TargetMode="External" /><Relationship Type="http://schemas.openxmlformats.org/officeDocument/2006/relationships/hyperlink" Id="rId68" Target="http://www.senn.com.cn/ly/2017/03/28/186770.html" TargetMode="External" /><Relationship Type="http://schemas.openxmlformats.org/officeDocument/2006/relationships/hyperlink" Id="rId25" Target="http://www.szse.cn/main/aboutus/bsyw/39766890.shtml" TargetMode="External" /><Relationship Type="http://schemas.openxmlformats.org/officeDocument/2006/relationships/hyperlink" Id="rId34" Target="http://www.szse.cn/main/aboutus/bsyw/39769940.shtml" TargetMode="External" /><Relationship Type="http://schemas.openxmlformats.org/officeDocument/2006/relationships/hyperlink" Id="rId73"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www.charltonslaw.com.cn/china-news-alerts-cn-issue-537/" TargetMode="Externa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65" Target="http://company.cnstock.com/company/scp_gsxw/201703/4055755.htm" TargetMode="External" /><Relationship Type="http://schemas.openxmlformats.org/officeDocument/2006/relationships/hyperlink" Id="rId62" Target="http://company.stcn.com/2017/0327/13174408.shtml" TargetMode="External" /><Relationship Type="http://schemas.openxmlformats.org/officeDocument/2006/relationships/hyperlink" Id="rId71" Target="http://kuaixun.stcn.com/2017/0329/13182961.shtml" TargetMode="External" /><Relationship Type="http://schemas.openxmlformats.org/officeDocument/2006/relationships/hyperlink" Id="rId48" Target="http://www.chinacourt.org/article/detail/2017/03/id/2630596.shtml" TargetMode="External" /><Relationship Type="http://schemas.openxmlformats.org/officeDocument/2006/relationships/hyperlink" Id="rId37" Target="http://www.chinaforex.com.cn/index.php/cms/item-view-id-42838.shtml" TargetMode="External" /><Relationship Type="http://schemas.openxmlformats.org/officeDocument/2006/relationships/hyperlink" Id="rId31" Target="http://www.chinaforex.com.cn/index.php/cms/item-view-id-42840.shtml" TargetMode="External" /><Relationship Type="http://schemas.openxmlformats.org/officeDocument/2006/relationships/hyperlink" Id="rId28" Target="http://www.chinaforex.com.cn/index.php/cms/item-view-id-42847.shtml" TargetMode="External" /><Relationship Type="http://schemas.openxmlformats.org/officeDocument/2006/relationships/hyperlink" Id="rId52" Target="http://www.chinaforex.com.cn/index.php/cms/item-view-id-42884.shtml" TargetMode="External" /><Relationship Type="http://schemas.openxmlformats.org/officeDocument/2006/relationships/hyperlink" Id="rId44" Target="http://www.circ.gov.cn/web/site0/tab5168/info4063176.htm" TargetMode="External" /><Relationship Type="http://schemas.openxmlformats.org/officeDocument/2006/relationships/hyperlink" Id="rId41" Target="http://www.circ.gov.cn/web/site0/tab5168/info4063273.htm" TargetMode="External" /><Relationship Type="http://schemas.openxmlformats.org/officeDocument/2006/relationships/hyperlink" Id="rId58" Target="http://www.legaldaily.com.cn/index/content/2017-03/24/content_7067798.htm?node=20908" TargetMode="External" /><Relationship Type="http://schemas.openxmlformats.org/officeDocument/2006/relationships/hyperlink" Id="rId55" Target="http://www.legaldaily.com.cn/index/content/2017-03/24/content_7068003.htm?node=20908" TargetMode="External" /><Relationship Type="http://schemas.openxmlformats.org/officeDocument/2006/relationships/hyperlink" Id="rId68" Target="http://www.senn.com.cn/ly/2017/03/28/186770.html" TargetMode="External" /><Relationship Type="http://schemas.openxmlformats.org/officeDocument/2006/relationships/hyperlink" Id="rId25" Target="http://www.szse.cn/main/aboutus/bsyw/39766890.shtml" TargetMode="External" /><Relationship Type="http://schemas.openxmlformats.org/officeDocument/2006/relationships/hyperlink" Id="rId34" Target="http://www.szse.cn/main/aboutus/bsyw/39769940.shtml" TargetMode="External" /><Relationship Type="http://schemas.openxmlformats.org/officeDocument/2006/relationships/hyperlink" Id="rId73"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第537期 - 2017年03月31日</dc:title>
  <dc:creator/>
</cp:coreProperties>
</file>