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第538期</w:t>
      </w:r>
      <w:r>
        <w:t xml:space="preserve"> </w:t>
      </w:r>
      <w:r>
        <w:t xml:space="preserve">-</w:t>
      </w:r>
      <w:r>
        <w:t xml:space="preserve"> </w:t>
      </w:r>
      <w:r>
        <w:t xml:space="preserve">2017年04月10日</w:t>
      </w:r>
    </w:p>
    <w:p>
      <w:hyperlink r:id="rId21">
        <w:r>
          <w:rPr>
            <w:rStyle w:val="Link"/>
          </w:rPr>
          <w:t xml:space="preserve">网络版</w:t>
        </w:r>
      </w:hyperlink>
    </w:p>
    <w:p>
      <w:pPr>
        <w:pStyle w:val="Heading1"/>
      </w:pPr>
      <w:bookmarkStart w:id="22" w:name="深圳证券交易所与中国银行开展战略合作推动一带一路跨境金融服务"/>
      <w:bookmarkEnd w:id="22"/>
      <w:r>
        <w:t xml:space="preserve">深圳证券交易所与中国银行开展战略合作推动“一带一路”跨境金融服务</w:t>
      </w:r>
    </w:p>
    <w:p>
      <w:pPr>
        <w:pStyle w:val="Heading2"/>
      </w:pPr>
      <w:bookmarkStart w:id="23" w:name="资本市场"/>
      <w:bookmarkEnd w:id="23"/>
      <w:r>
        <w:t xml:space="preserve">资本市场</w:t>
      </w:r>
    </w:p>
    <w:p>
      <w:pPr>
        <w:pStyle w:val="Heading3"/>
      </w:pPr>
      <w:bookmarkStart w:id="24" w:name="深圳证券交易所与中国银行开展战略合作推动一带一路跨境金融服务-1"/>
      <w:bookmarkEnd w:id="24"/>
      <w:r>
        <w:t xml:space="preserve">深圳证券交易所与中国银行开展战略合作推动“一带一路”跨境金融服务</w:t>
      </w:r>
    </w:p>
    <w:p>
      <w:r>
        <w:t xml:space="preserve">近日，深圳证券交易所（以下简称“深交所”）与中国银行股份有限公司（以下简称“中国银行”）在深圳签署战略合作协议，共同推进“一带一路”跨境金融服务。深交所理事长吴利军、总经理王建军和中国银行董事长田国立、副行长高迎欣出席了签约仪式。</w:t>
      </w:r>
    </w:p>
    <w:p>
      <w:r>
        <w:t xml:space="preserve">根据协议，双方将在境内外开展合作，共同服务创新型中小企业，实现信息共享，平台对接，产品创新，跨境服务。一是推进“一带一路”跨境金融服务，通过网上路演、网下对接，推动跨境投融资项目对接，促进跨境资本形成；二是探索跨境金融产品创新，为企业跨境融资便利化、融资渠道多元化提供支持；三是联合开展中小企业培育工作，推动发行上市，提供企业全生命周期的供应链金融服务。</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证监会主席刘士余完善跨境交易和监管协作制度"/>
      <w:bookmarkEnd w:id="27"/>
      <w:r>
        <w:t xml:space="preserve">证监会主席刘士余：完善跨境交易和监管协作制度</w:t>
      </w:r>
    </w:p>
    <w:p>
      <w:r>
        <w:t xml:space="preserve">近日，证监会主席刘士余表示，健全与完善资本市场的基础性法律制度是资本市场稳健发展的根本保障，要抓住《证券法》修订和《期货法》制定工作的契机，完善资本市场跨境交易活动与跨境监管协作制度。</w:t>
      </w:r>
    </w:p>
    <w:p>
      <w:r>
        <w:t xml:space="preserve">刘士余强调，健全与完善资本市场的基础性法律制度是资本市场稳健发展的根本保障。特别是在金融全球化的大背景下，解决好跨境、跨业和跨市场的金融市场国际性法律问题，对于充分保护境内外投资者的合法权益，有效实施跨境监管合作，具有特别重大的现实意义。刘士余指出，中国股票市场实行“直接持有”制度，这一透明持有体系是中国资本市场的一大特色，是实施“看穿式”市场监管和有效保护投资者权益的重要基础，在保障市场公开透明、落实“三公”原则方面具有独特的制度优势。</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国家外汇管理局发布国家外汇管理局关于便利银行开展贸易单证审核有关工作的通知"/>
      <w:bookmarkEnd w:id="30"/>
      <w:r>
        <w:t xml:space="preserve">国家外汇管理局发布《国家外汇管理局关于便利银行开展贸易单证审核有关工作的通知》</w:t>
      </w:r>
    </w:p>
    <w:p>
      <w:r>
        <w:t xml:space="preserve">为进一步提升贸易便利化水平，降低进出口企业成本，服务实体经济，日前，国家外汇管理局发布《国家外汇管理局关于便利银行开展贸易单证审核有关工作的通知》（以下简称《通知》）。《通知》自2017年5月1日起正式实施。</w:t>
      </w:r>
    </w:p>
    <w:p>
      <w:r>
        <w:t xml:space="preserve">《通知》主要内容包括：一是向银行开放报关电子信息，用于货物贸易外汇业务真实性审核。二是银行应遵循“了解客户、了解业务、尽职审查”原则，核验报关电子信息，对能够确认交易真实性的，可免于核验。三是发现企业未按规定提供报关信息、重复使用单证、使用虚假单证等情况的，银行应在系统中对企业加注标识，向全国银行公示。《通知》明确在全国范围内向银行开放报关电子信息，在不改变现有企业业务办理手续的同时，为银行提供贸易真实性信息查询渠道，既利于企业便捷办理业务，又有利于银行提升金融服务电子化水平，加强风险管理，提高运行效率。</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银监会证监会保监会等五部门支持合规制造业企业境内外上市"/>
      <w:bookmarkEnd w:id="33"/>
      <w:r>
        <w:t xml:space="preserve">银监会、证监会、保监会等五部门支持合规制造业企业境内外上市</w:t>
      </w:r>
    </w:p>
    <w:p>
      <w:r>
        <w:t xml:space="preserve">近日，银监会、证监会、保监会、央行、工业和信息化部联合发布了《关于金融支持制造强国建设的指导意见》（以下简称《指导意见》）。指导意见提出，支持符合条件的制造业企业在境内外市场上市融资，鼓励制造业企业通过资本市场并购重组，允许符合条件的制造业企业通过发行优先股、可转换债券、并购债券等方式筹集兼并重组资金。</w:t>
      </w:r>
    </w:p>
    <w:p>
      <w:r>
        <w:t xml:space="preserve">《指导意见》提出，推动投贷联动金融服务模式创新，稳妥有序推进投贷联动业务试点；大力发展多层次资本市场，加强对制造强国建设的资金支持。加快推进高技术制造业企业、先进制造业企业在中小企业板、创业板、全国中小企业股份转让系统和区域性股权交易市场上市或挂牌融资，充实中长期资本实力。在上市融资企业储备库里，对创新能力强、成长性好的制造业企业重点扶持。支持制造业企业在境外上市融资，提升中国制造业企业的国际竞争力。鼓励制造业企业通过资本市场并购重组，实现行业整合和布局调整优化，支持中西部地区承接产业转移。</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证监会决定在沪深交易所设立巡回审理办公室进一步提升监管执法效能"/>
      <w:bookmarkEnd w:id="36"/>
      <w:r>
        <w:t xml:space="preserve">证监会决定在沪深交易所设立巡回审理办公室，进一步提升监管执法效能</w:t>
      </w:r>
    </w:p>
    <w:p>
      <w:r>
        <w:t xml:space="preserve">为强化对证券期货市场“依法、全面、从严”监管执法原则，证监会在行政执法体制改革创新方面又迈出重要一步，决定在上海、深圳证券交易所设立巡回审理办公室，派驻执法人员对两交易所上市公司相关违法违规案件开展行政处罚审理工作。</w:t>
      </w:r>
    </w:p>
    <w:p>
      <w:r>
        <w:t xml:space="preserve">近年来，证监会重典治乱，猛药去疴，行政执法工作取得了显著成效。2016年，证监会的行政处罚决定数量、罚没款金额、市场禁入人数均刷新历史峰值，2017年第一季度的行政处罚罚没款金额已超过2016年全年，有力保护了广大中小投资者的合法权益，有效防范了市场风险，切实保障了资本市场服务实体经济和供给侧结构性改革功能的有效发挥。证监会此次在沪深两地设立巡回审理办公室，是适应资本市场新变化、满足监管执法新要求的重大举措，必将有力推动行政执法力量贴近市场和监管一线，实现证监会集中统一执法与交易所一线监管的有机衔接和全系统执法能力、执法资源的有效整合。</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财政部明确国企资本金注入采取三种方式"/>
      <w:bookmarkEnd w:id="39"/>
      <w:r>
        <w:t xml:space="preserve">财政部明确国企资本金注入采取三种方式</w:t>
      </w:r>
    </w:p>
    <w:p>
      <w:r>
        <w:t xml:space="preserve">近日，财政部发布的《中央国有资本经营预算支出管理暂行办法》（以下简称《办法》）表示，国有企业资本金注入采取向投资运营公司注资、向产业投资基金注资以及向中央企业注资三种方式。</w:t>
      </w:r>
    </w:p>
    <w:p>
      <w:r>
        <w:t xml:space="preserve">《办法》指出，中央国有资本经营预算支出除调入一般公共预算和补充全国社会保障基金外，主要用于以下方面：解决国有企业历史遗留问题及相关改革成本支出；国有企业资本金注入；其他支出。分析人士表示，国有企业资本金注入有利于推动投资运营公司调整国有资本布局和结构，增强国有资本控制力。而国有企业资本金注入产业投资基金，有助于发挥财政资金的杠杆作用，引领社会资本更多投向重要前瞻性战略性产业、生态环境保护、科技进步、公共服务、国际化经营等领域。</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2"/>
      </w:pPr>
      <w:bookmarkStart w:id="42" w:name="保险"/>
      <w:bookmarkEnd w:id="42"/>
      <w:r>
        <w:t xml:space="preserve">保险</w:t>
      </w:r>
    </w:p>
    <w:p>
      <w:pPr>
        <w:pStyle w:val="Heading3"/>
      </w:pPr>
      <w:bookmarkStart w:id="43" w:name="保监会印发关于优化保险合同负债评估所适用折现率曲线有关事项的通知"/>
      <w:bookmarkEnd w:id="43"/>
      <w:r>
        <w:t xml:space="preserve">保监会印发《关于优化保险合同负债评估所适用折现率曲线有关事项的通知》</w:t>
      </w:r>
    </w:p>
    <w:p>
      <w:r>
        <w:t xml:space="preserve">近日，保监会印发《关于优化保险合同负债评估所适用折现率曲线有关事项的通知》（以下简称《通知》），进一步提升保险公司长期保障型产品的准备金评估的科学性。</w:t>
      </w:r>
    </w:p>
    <w:p>
      <w:r>
        <w:t xml:space="preserve">《通知》指出，未来保险利益不受对应资产组合投资收益影响的保险合同，其未到期责任准备金评估适用的折现率曲线由基础利率曲线加综合溢价组成。其中，基础利率曲线应与偿二代下未到期责任准备金所适用的基础利率曲线保持一致，采用20年以内、20年到40年、40年以上的分段方式，并引入终极利率。综合溢价允许保险公司综合考虑税收、流动性效应和逆周期等因素确定，溢价幅度上限由现行的150个基点降低到120个基点，收紧了公司自由浮动的空间，增强财务报表的可比性。</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2"/>
      </w:pPr>
      <w:bookmarkStart w:id="46" w:name="行业"/>
      <w:bookmarkEnd w:id="46"/>
      <w:r>
        <w:t xml:space="preserve">行业</w:t>
      </w:r>
    </w:p>
    <w:p>
      <w:pPr>
        <w:pStyle w:val="Heading3"/>
      </w:pPr>
      <w:bookmarkStart w:id="47" w:name="中国财政部公布中央国有资本经营预算支出管理暂行办法"/>
      <w:bookmarkEnd w:id="47"/>
      <w:r>
        <w:t xml:space="preserve">中国财政部公布《中央国有资本经营预算支出管理暂行办法》</w:t>
      </w:r>
    </w:p>
    <w:p>
      <w:r>
        <w:t xml:space="preserve">中国财政部近日对外公布《中央国有资本经营预算支出管理暂行办法》（以下简称《办法》）。《办法》包括总则、支出范围、预算编制和批复、预算执行、转移支付、决算、绩效管理、监督检查、附则等9章，共计44条。</w:t>
      </w:r>
    </w:p>
    <w:p>
      <w:r>
        <w:t xml:space="preserve">《办法》规定，中央国有资本经营预算支出除调入一般公共预算和补充全国社会保障基金外，主要用于以下方面：解决国有企业历史遗留问题及相关改革成本支出；国有企业资本金注入；其他支出。中央国有资本经营预算支出方向和重点，应当根据国家宏观经济政策需要以及不同时期国有企业改革发展任务适时进行调整。《办法》强调，中央国有资本经营预算支出应当按照经批准的预算执行，未经批准不得擅自调剂。财政部按照国库集中支付管理的规定，将预算资金拨付至投资运营公司、产业投资基金和中央企业。投资运营公司和中央企业应按规定用途使用资金。</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国务院办公厅印发关于深化国有企业和国有资本审计监督的若干意见"/>
      <w:bookmarkEnd w:id="50"/>
      <w:r>
        <w:t xml:space="preserve">国务院办公厅印发《关于深化国有企业和国有资本审计监督的若干意见》</w:t>
      </w:r>
    </w:p>
    <w:p>
      <w:r>
        <w:t xml:space="preserve">近日，中共中央办公厅、国务院办公厅印发了《关于深化国有企业和国有资本审计监督的若干意见》（以下简称《意见》），标志着国有企业和国有资本审计监督体系和制度进一步完善。</w:t>
      </w:r>
    </w:p>
    <w:p>
      <w:r>
        <w:t xml:space="preserve">《意见》明确，深化国有企业和国有资本审计监督，要围绕国有企业、国有资本、境外投资以及国有企业领导人员履行经济责任情况，做到应审尽审、有审必严。要完善国有企业和国有资本审计监督体制机制，做到国有企业、国有资本走到哪里，审计就跟进到哪里，不留死角。国有企业主要领导人员要切实履行整改第一责任。国有资产监管等部门对审计发现移送的重大问题，要依纪依法依规处理，严肃追责问责，将审计结果及整改情况作为考核、任免、奖惩的重要依据。</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人社部加强劳动人事争议调解仲裁"/>
      <w:bookmarkEnd w:id="53"/>
      <w:r>
        <w:t xml:space="preserve">人社部：加强劳动人事争议调解仲裁</w:t>
      </w:r>
    </w:p>
    <w:p>
      <w:r>
        <w:t xml:space="preserve">人力资源和社会保障部发布消息称，近日，人社部会同中央综治办、最高人民法院、司法部等部门制定印发了《关于进一步加强劳动人事争议调解仲裁完善多元处理机制的意见》（以下简称《意见》）。</w:t>
      </w:r>
    </w:p>
    <w:p>
      <w:r>
        <w:t xml:space="preserve">《意见》提出，到2020年，劳动人事争议协商解决机制逐步完善，调解基础性作用充分发挥，仲裁制度优势显著增强，司法保障作用进一步加强，协商、调解、仲裁、诉讼相互协调、有序衔接的劳动人事争议多元处理格局更加健全，劳动人事争议处理工作服务社会能力明显提高。《意见》还指出，要健全劳动人事争议预防协商解决机制，指导用人单位加强劳动人事争议源头预防，引导支持用人单位与职工通过协商解决劳动人事争议。</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中国西部地区首部绿色建筑发展规章施行"/>
      <w:bookmarkEnd w:id="56"/>
      <w:r>
        <w:t xml:space="preserve">中国西部地区首部绿色建筑发展规章施行</w:t>
      </w:r>
    </w:p>
    <w:p>
      <w:r>
        <w:t xml:space="preserve">近日，《青海省促进绿色建筑发展办法》（以下简称《办法》）正式施行，这也是中国西部地区首部促进绿色建筑发展的政府规章。</w:t>
      </w:r>
    </w:p>
    <w:p>
      <w:r>
        <w:t xml:space="preserve">青海省法制办副主任孙青海表示，随着青海省城镇化建设的推进，建筑能源消耗在能源消耗总量中所占比重逐年上升，建材生产和建筑建造、使用过程中消耗的能源，已占全社会总耗能量的30%以上，给经济社会发展带来巨大压力。相对于传统建筑，发展绿色建筑既有利于降低能耗，也有利于改善人居环境，提升居民生活质量。青海省住房和城乡建设厅副厅长尚少岩此前介绍，绿色建筑是指在全寿命期内最大限度地节能、节地、节水、节材，保护环境和减少污染，为人们提供健康、适用和高效的使用空间，与自然和谐共生的建筑。</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2"/>
      </w:pPr>
      <w:bookmarkStart w:id="59" w:name="并购"/>
      <w:bookmarkEnd w:id="59"/>
      <w:r>
        <w:t xml:space="preserve">并购</w:t>
      </w:r>
    </w:p>
    <w:p>
      <w:pPr>
        <w:pStyle w:val="Heading3"/>
      </w:pPr>
      <w:bookmarkStart w:id="60" w:name="爱尔眼科收购美国眼科中心落地国际化布局再下一城"/>
      <w:bookmarkEnd w:id="60"/>
      <w:r>
        <w:t xml:space="preserve">爱尔眼科收购美国眼科中心落地，国际化布局再下一城</w:t>
      </w:r>
    </w:p>
    <w:p>
      <w:r>
        <w:t xml:space="preserve">爱尔眼科近日发出公告，公司1800万美元收购 Dr. Ming Wang 所持有的 AW Healthcare Management, LLC 75%的股权项目已按照交易协议完成交割。爱尔眼科董事长陈邦表示，得益于双方长期以来的深度互信，收购事项进展顺利，项目正式落地，“该项收购是公司稳步推进国际化的又一里程碑”。</w:t>
      </w:r>
    </w:p>
    <w:p>
      <w:r>
        <w:t xml:space="preserve">爱尔眼科董秘吴士君介绍，近年来居民对医疗服务标准的要求持续提高，国内中高端医疗服务供给不足的矛盾日益显现。为满足多层次的医疗需求，爱尔眼科将加大高端服务能力。Wang Vision 眼科中心具备成熟的高端医疗服务体系，将与公司形成良好的协同效应。基于公司海量的患者基础，发展高端医疗不仅为爱尔在全球范围内打造更强的品牌影响力，而且逐步提升医疗服务的附加值。</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木林森拟40亿元收购明芯光电"/>
      <w:bookmarkEnd w:id="63"/>
      <w:r>
        <w:t xml:space="preserve">木林森拟40亿元收购明芯光电</w:t>
      </w:r>
    </w:p>
    <w:p>
      <w:r>
        <w:t xml:space="preserve">木林森近日出炉重组预案，公司拟作价40亿元收购明芯光电100%股权，同时拟配套募资不超过12.55亿元。公司本次的收购标的实为境外照明解决方案供应商LEDVANCE，后者主营传统光源、LED光源等。公司将通过本次交易进行全球化布局，拓展海外市场。</w:t>
      </w:r>
    </w:p>
    <w:p>
      <w:r>
        <w:t xml:space="preserve">具体来看方案，木林森拟通过发行股份及支付现金的方式购买和谐明芯、卓睿投资所持有的明芯光电100%的股权。其中，拟以28.53元/股发行9624.96万股，股份对价27.46亿元；现金对价部分则不超过12.54亿元。同时，公司拟向不超过十名特定投资者非公开发行股份募集配套资金不超过12.55亿元，募资将用于义乌LED照明应用产品项目及支付本次重组相关费用。木林森表示，由于公司与LEDVANCE主营业务均涉及照明设备及解决方案，本次交易完成后，双方将在销售渠道、运营成本、技术研发和管理经验等方面形成优势互补，将发挥“欧司朗”高端品牌与“木林森”制造成本优势相结合的协同效应。同时，本次交易将成为公司实现全球化布局的重要举措。</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东芝将收购engie所持英国核电项目40股份"/>
      <w:bookmarkEnd w:id="66"/>
      <w:r>
        <w:t xml:space="preserve">东芝将收购Engie所持英国核电项目40%股份</w:t>
      </w:r>
    </w:p>
    <w:p>
      <w:r>
        <w:t xml:space="preserve">据美国财经网站MarketWatch报道，东芝近日称，该公司将收购其合作伙伴Engie SA所持一个英国拟建核电项目的运营商的40%股份，收购价为153亿日元（约合1.38亿美元）。此前，Engie根据两家公司之间的协议条款向东芝提出了这项要求。</w:t>
      </w:r>
    </w:p>
    <w:p>
      <w:r>
        <w:t xml:space="preserve">这项资产收购交易意味着，就目前而言东芝将更加深度地参与该公司正希望能够退出的一项业务，也就是日本市场以外的核电项目。上周，东芝旗下美国核能部门西屋电气公司（Westinghouse Electric Co.）刚刚申请了破产保护，原因是其在美国东南部地区的核反应堆项目遭遇了重大的成本超支压力。东芝表示，西屋电气申请破产保护一事触发了该公司与总部设在法国的Engie之间的一项协议条款，这项条款赋予了后者以出售其所持双方英国合资企业NuGeneration Ltd.股份的权利。在此以前，东芝已经持有这个合资企业的60%股份。</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博深工具拟12亿并购金牛研磨"/>
      <w:bookmarkEnd w:id="69"/>
      <w:r>
        <w:t xml:space="preserve">博深工具拟12亿并购金牛研磨</w:t>
      </w:r>
    </w:p>
    <w:p>
      <w:r>
        <w:t xml:space="preserve">博深工具近日披露重组预案，公司拟以发行股份及支付现金的方式购买交易对方杨建华等持有的金牛研磨 100% 股权，初步交易价格为12亿元，同时拟配套募资不超过6.04亿元。通过本次横向并购，博深工具将进入涂附磨具领域，借此扩大公司在磨料磨具行业的市场份额。</w:t>
      </w:r>
    </w:p>
    <w:p>
      <w:r>
        <w:t xml:space="preserve">公告显示，博深工具拟以12.25 元/股向交易对象发行约7484.08万股，并支付现金2.83亿元。经初步预估，金牛研磨100% 股权的预估值为12.12亿元，较2016年12月31日母公司未经审计的净资产价值2.73亿元，评估增值率为343.29%。博深工具表示，公司与标的公司均属磨料磨具相关行业，两家公司业务侧重点有所不同。本次交易前，公司专注于金刚石工具、电动工具等的研发、生产和销售，属于磨料磨具行业中超硬材料的应用行业。通过本次交易，博深工具将进入涂附磨具市场，扩大公司在磨料磨具行业的市场份额，拓宽产品线，整合客户资源，从而提升市场竞争力。</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2">
        <w:r>
          <w:rPr>
            <w:rStyle w:val="Link"/>
          </w:rPr>
          <w:t xml:space="preserve">unsubscribe@charltonslaw.com</w:t>
        </w:r>
      </w:hyperlink>
    </w:p>
    <w:p>
      <w:r>
        <w:rPr>
          <w:b/>
        </w:rPr>
        <w:t xml:space="preserve">易周律师行 - 法讯 - 中国 - 第538期 - 2017年04月10日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e426d10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www.charltonslaw.com.cn/shen-zhen-zheng-quan-jiao-yi-suo-yu-zhong-guo-yin-hang-kai-zhan-zhan-lve-he-zuo-tui-dong-yi-dai-yi-lu-kua-jing-jin-rong-fu-wu/" TargetMode="Externa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64" Target="http://company.stcn.com/2017/0331/13192537.shtml" TargetMode="External" /><Relationship Type="http://schemas.openxmlformats.org/officeDocument/2006/relationships/hyperlink" Id="rId61" Target="http://company.stcn.com/2017/0331/13194816.shtml" TargetMode="External" /><Relationship Type="http://schemas.openxmlformats.org/officeDocument/2006/relationships/hyperlink" Id="rId70" Target="http://company.stcn.com/2017/0405/13197355.shtml" TargetMode="External" /><Relationship Type="http://schemas.openxmlformats.org/officeDocument/2006/relationships/hyperlink" Id="rId67" Target="http://kuaixun.stcn.com/2017/0405/13197400.shtml" TargetMode="External" /><Relationship Type="http://schemas.openxmlformats.org/officeDocument/2006/relationships/hyperlink" Id="rId51" Target="http://news.xinhuanet.com/politics/2017-03/31/c_1120734321.htm" TargetMode="External" /><Relationship Type="http://schemas.openxmlformats.org/officeDocument/2006/relationships/hyperlink" Id="rId48" Target="http://www.chinacourt.org/article/detail/2017/03/id/2647575.shtml" TargetMode="External" /><Relationship Type="http://schemas.openxmlformats.org/officeDocument/2006/relationships/hyperlink" Id="rId34" Target="http://www.chinaforex.com.cn/index.php/cms/item-view-id-42885.shtml" TargetMode="External" /><Relationship Type="http://schemas.openxmlformats.org/officeDocument/2006/relationships/hyperlink" Id="rId40" Target="http://www.chinaforex.com.cn/index.php/cms/item-view-id-42891.shtml" TargetMode="External" /><Relationship Type="http://schemas.openxmlformats.org/officeDocument/2006/relationships/hyperlink" Id="rId31" Target="http://www.chinaforex.com.cn/index.php/cms/item-view-id-42945.shtml" TargetMode="External" /><Relationship Type="http://schemas.openxmlformats.org/officeDocument/2006/relationships/hyperlink" Id="rId54" Target="http://www.chinalawinfo.com/News/NewsFullText.aspx?NewsId=85092&amp;NewsType=1" TargetMode="External" /><Relationship Type="http://schemas.openxmlformats.org/officeDocument/2006/relationships/hyperlink" Id="rId57" Target="http://www.chinalawinfo.com/News/NewsFullText.aspx?NewsId=85142&amp;NewsType=1" TargetMode="External" /><Relationship Type="http://schemas.openxmlformats.org/officeDocument/2006/relationships/hyperlink" Id="rId44" Target="http://www.circ.gov.cn/web/site0/tab5168/info4063391.htm" TargetMode="External" /><Relationship Type="http://schemas.openxmlformats.org/officeDocument/2006/relationships/hyperlink" Id="rId37" Target="http://www.csrc.gov.cn/pub/newsite/zjhxwfb/xwdd/201703/t20170331_314507.html" TargetMode="External" /><Relationship Type="http://schemas.openxmlformats.org/officeDocument/2006/relationships/hyperlink" Id="rId28" Target="http://www.stcn.com/2017/0401/13195618.shtml" TargetMode="External" /><Relationship Type="http://schemas.openxmlformats.org/officeDocument/2006/relationships/hyperlink" Id="rId25" Target="http://www.szse.cn/main/aboutus/bsyw/39770963.shtml" TargetMode="External" /><Relationship Type="http://schemas.openxmlformats.org/officeDocument/2006/relationships/hyperlink" Id="rId72"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www.charltonslaw.com.cn/shen-zhen-zheng-quan-jiao-yi-suo-yu-zhong-guo-yin-hang-kai-zhan-zhan-lve-he-zuo-tui-dong-yi-dai-yi-lu-kua-jing-jin-rong-fu-wu/" TargetMode="Externa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64" Target="http://company.stcn.com/2017/0331/13192537.shtml" TargetMode="External" /><Relationship Type="http://schemas.openxmlformats.org/officeDocument/2006/relationships/hyperlink" Id="rId61" Target="http://company.stcn.com/2017/0331/13194816.shtml" TargetMode="External" /><Relationship Type="http://schemas.openxmlformats.org/officeDocument/2006/relationships/hyperlink" Id="rId70" Target="http://company.stcn.com/2017/0405/13197355.shtml" TargetMode="External" /><Relationship Type="http://schemas.openxmlformats.org/officeDocument/2006/relationships/hyperlink" Id="rId67" Target="http://kuaixun.stcn.com/2017/0405/13197400.shtml" TargetMode="External" /><Relationship Type="http://schemas.openxmlformats.org/officeDocument/2006/relationships/hyperlink" Id="rId51" Target="http://news.xinhuanet.com/politics/2017-03/31/c_1120734321.htm" TargetMode="External" /><Relationship Type="http://schemas.openxmlformats.org/officeDocument/2006/relationships/hyperlink" Id="rId48" Target="http://www.chinacourt.org/article/detail/2017/03/id/2647575.shtml" TargetMode="External" /><Relationship Type="http://schemas.openxmlformats.org/officeDocument/2006/relationships/hyperlink" Id="rId34" Target="http://www.chinaforex.com.cn/index.php/cms/item-view-id-42885.shtml" TargetMode="External" /><Relationship Type="http://schemas.openxmlformats.org/officeDocument/2006/relationships/hyperlink" Id="rId40" Target="http://www.chinaforex.com.cn/index.php/cms/item-view-id-42891.shtml" TargetMode="External" /><Relationship Type="http://schemas.openxmlformats.org/officeDocument/2006/relationships/hyperlink" Id="rId31" Target="http://www.chinaforex.com.cn/index.php/cms/item-view-id-42945.shtml" TargetMode="External" /><Relationship Type="http://schemas.openxmlformats.org/officeDocument/2006/relationships/hyperlink" Id="rId54" Target="http://www.chinalawinfo.com/News/NewsFullText.aspx?NewsId=85092&amp;NewsType=1" TargetMode="External" /><Relationship Type="http://schemas.openxmlformats.org/officeDocument/2006/relationships/hyperlink" Id="rId57" Target="http://www.chinalawinfo.com/News/NewsFullText.aspx?NewsId=85142&amp;NewsType=1" TargetMode="External" /><Relationship Type="http://schemas.openxmlformats.org/officeDocument/2006/relationships/hyperlink" Id="rId44" Target="http://www.circ.gov.cn/web/site0/tab5168/info4063391.htm" TargetMode="External" /><Relationship Type="http://schemas.openxmlformats.org/officeDocument/2006/relationships/hyperlink" Id="rId37" Target="http://www.csrc.gov.cn/pub/newsite/zjhxwfb/xwdd/201703/t20170331_314507.html" TargetMode="External" /><Relationship Type="http://schemas.openxmlformats.org/officeDocument/2006/relationships/hyperlink" Id="rId28" Target="http://www.stcn.com/2017/0401/13195618.shtml" TargetMode="External" /><Relationship Type="http://schemas.openxmlformats.org/officeDocument/2006/relationships/hyperlink" Id="rId25" Target="http://www.szse.cn/main/aboutus/bsyw/39770963.shtml" TargetMode="External" /><Relationship Type="http://schemas.openxmlformats.org/officeDocument/2006/relationships/hyperlink" Id="rId72"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第538期 - 2017年04月10日</dc:title>
  <dc:creator/>
</cp:coreProperties>
</file>