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第540期</w:t>
      </w:r>
      <w:r>
        <w:t xml:space="preserve"> </w:t>
      </w:r>
      <w:r>
        <w:t xml:space="preserve">-</w:t>
      </w:r>
      <w:r>
        <w:t xml:space="preserve"> </w:t>
      </w:r>
      <w:r>
        <w:t xml:space="preserve">2017年04月24日</w:t>
      </w:r>
    </w:p>
    <w:p>
      <w:hyperlink r:id="rId21">
        <w:r>
          <w:rPr>
            <w:rStyle w:val="Link"/>
          </w:rPr>
          <w:t xml:space="preserve">网络版</w:t>
        </w:r>
      </w:hyperlink>
    </w:p>
    <w:p>
      <w:pPr>
        <w:pStyle w:val="Heading1"/>
      </w:pPr>
      <w:bookmarkStart w:id="22" w:name="深圳证券交易所修改回购计息方式完善回购利率形成机制"/>
      <w:bookmarkEnd w:id="22"/>
      <w:r>
        <w:t xml:space="preserve">深圳证券交易所修改回购计息方式，完善回购利率形成机制</w:t>
      </w:r>
    </w:p>
    <w:p>
      <w:pPr>
        <w:pStyle w:val="Heading2"/>
      </w:pPr>
      <w:bookmarkStart w:id="23" w:name="资本市场"/>
      <w:bookmarkEnd w:id="23"/>
      <w:r>
        <w:t xml:space="preserve">资本市场</w:t>
      </w:r>
    </w:p>
    <w:p>
      <w:pPr>
        <w:pStyle w:val="Heading3"/>
      </w:pPr>
      <w:bookmarkStart w:id="24" w:name="深圳证券交易所修改回购计息方式完善回购利率形成机制-1"/>
      <w:bookmarkEnd w:id="24"/>
      <w:r>
        <w:t xml:space="preserve">深圳证券交易所修改回购计息方式，完善回购利率形成机制</w:t>
      </w:r>
    </w:p>
    <w:p>
      <w:r>
        <w:t xml:space="preserve">近年来交易所债券市场规模不断扩大，质押式回购（以下简称“回购”）交易量随之增加，回购利率波动问题日益受到市场关注。为进一步完善回购利率形成机制，平滑回购利率波动性，深圳证券交易所近日修订了《深圳证券交易所债券交易实施细则》，修改回购计息方式，将到期购回价计息天数由名义天数修改为资金实际占款天数。新的计息方式将于2017年5月22日正式施行，施行前已达成的债券回购交易，其到期购回价仍按原公式计算。</w:t>
      </w:r>
    </w:p>
    <w:p>
      <w:r>
        <w:t xml:space="preserve">回购计息方式修改施行之后，各品种的回购报价利率将代表回购资金实际占用期间的平均年化利率，节假日因素不会对回购利率揭示产生影响。市场参与者在报价时将无须再考虑资金实际占用天数对回购利率的影响，同时也需要调整原有的回购利率报价习惯，按实际年化利率报价，以反映市场实际的利率水平。对于计息方式的改变，深交所要求券商柜台系统在投资者提交申报委托时向投资者进行提示，券商柜台系统、行情商系统向投资者揭示14天以内（含14天）回购产品实际占款天数。</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上海证券交易所修改债券质押式回购交易条款"/>
      <w:bookmarkEnd w:id="27"/>
      <w:r>
        <w:t xml:space="preserve">上海证券交易所修改债券质押式回购交易条款</w:t>
      </w:r>
    </w:p>
    <w:p>
      <w:r>
        <w:t xml:space="preserve">为完善交易所债券回购业务管理，经中国证监会批准，上海证券交易所对《上海证券交易所交易规则》及《上海证券交易所债券交易实施细则》涉及债券质押式回购交易的若干条款进行了修改，新规自2017年5月22日正式实施。</w:t>
      </w:r>
    </w:p>
    <w:p>
      <w:r>
        <w:t xml:space="preserve">本次新规调整主要涉及两方面内容：一是修改质押式回购计息规则，计息天数从回购期限的名义天数修改为资金实际占款天数，以消除名义计息天数规则下由于周末和节假日因素导致的回购利率大幅波动，同时将全年计息天数从360天改为365天；二是修改质押式回购收盘价计算方法，由当日最后一笔交易前一分钟所有交易的成交量加权平均价修改为当日最后一笔交易前一小时所有交易的成交量加权平均价，以提高回购收盘价稳定性。上交所表示，近年来，随着交易所债券质押式回购交易量不断增加，交易所回购市场参与者群体不断扩大。为更好地服务市场参与者，上交所和中国结算共同研究完善回购业务管理，新规优化了回购利率计息规则和收盘价计算方法。</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银监会拟推26项新规弥补监管短板"/>
      <w:bookmarkEnd w:id="30"/>
      <w:r>
        <w:t xml:space="preserve">银监会拟推26项新规弥补监管短板</w:t>
      </w:r>
    </w:p>
    <w:p>
      <w:r>
        <w:t xml:space="preserve">近日，银监会印发《关于切实弥补监管短板，提升监管效能的通知》（以下简称“7号文”），将针对银行业目前存在的突出风险，补充完善股东管理、交叉金融产品、理财业务等监管制度。同时宣布将制定、推进、研究26项规范性文件。</w:t>
      </w:r>
    </w:p>
    <w:p>
      <w:r>
        <w:t xml:space="preserve">银监会7号文称，强化风险源头遏制，主要是针对股东管理。银监会将研究制定统一的银行业金融机构股东管理规则，明确银行业金融机构股东资格、参控股机构数量等监管要求。各级监管部门应强化准入监管，穿透识别实际控制人、最终受益所有权人，审查其资质；将加强关联关系审查，防止通过委托他人代持股权、关联方与一致行动人联合持股等方式规避股东资格审查的行为。此外，7号文规定，银行业金融机构应建立健全股权管理制度，全面梳理主要股东及关联方情况，掌握其重大变化，对超过规定比例的股权转让应及时报监管部门审查或备案，及时披露主要股东的股权质押融资信息。银行业金融机构应要求主要股东就合法行使权利、合规转让股权等出具承诺。</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非洲首只离岸人民币债券发行"/>
      <w:bookmarkEnd w:id="33"/>
      <w:r>
        <w:t xml:space="preserve">非洲首只离岸人民币债券发行</w:t>
      </w:r>
    </w:p>
    <w:p>
      <w:r>
        <w:t xml:space="preserve">非洲首只离岸人民币债券“彩虹债”日前由中国银行约翰内斯堡分行成功发行。分析认为，离岸人民币债券首次登陆非洲市场，将为非洲人民币业务引入“活水”，为人民币国际化深入非洲地区搭建新的桥梁。</w:t>
      </w:r>
    </w:p>
    <w:p>
      <w:r>
        <w:t xml:space="preserve">据了解，本次“彩虹债”发行金额为15亿元人民币，期限为3年，利率4.88%，募集资金将主要用于“一带一路”建设相关信贷项目。“彩虹债”得到了国际投资者的积极响应，订单规模一度高达65亿元，最终订单金额32亿元，认购倍数达2.13倍，且最终定价较初始价格区间大幅收窄。中国银行相关负责人表示，中国银行约翰内斯堡分行是非洲地区首家人民币清算行。此次由该行发行人民币债券，主要是支持其开展人民币清算及资产业务，增强国际市场影响力。</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监管严查现金贷风险涉p2p网络小贷"/>
      <w:bookmarkEnd w:id="36"/>
      <w:r>
        <w:t xml:space="preserve">监管严查“现金贷”风险，涉P2P、网络小贷</w:t>
      </w:r>
    </w:p>
    <w:p>
      <w:r>
        <w:t xml:space="preserve">近日，银监会下设的P2P网络借贷风险专项整治工作领导小组办公室向各地下发《关于开展“现金贷”业务活动清理整顿工作的通知》（以下简称《通知》）和《关于开展“现金贷”业务活动清理整顿工作的补充说明》，要求将“现金贷”纳入互联网金融风险专项整治工作。</w:t>
      </w:r>
    </w:p>
    <w:p>
      <w:r>
        <w:t xml:space="preserve">此次因“现金贷”被纳入排查对象的，不仅包括P2P平台，还有网络小贷公司。《通知》指出，如若违反相关规定，存在“高利贷”、暴力催收等现象，P2P平台按情节轻重进行分类处置，并按期完成整改；网络小贷相关业务则将被立即叫停，存量业务逐步压降至零。同时，对于涉嫌恶意欺诈、发放高利贷和暴力催收等违法违规的机构，则需要及时移送公安机关进行处置。《通知》还指出，近年来“现金贷”平台遍地开花，良莠不齐，部分平台存在一些突出问题，其中一个问题就是利率畸高，根据媒体报道，“现金贷”平均利率为158%，最高的“发薪贷”利率高达598%。实质是以“现金贷”之名行“高利贷”之实。</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2"/>
      </w:pPr>
      <w:bookmarkStart w:id="39" w:name="保险"/>
      <w:bookmarkEnd w:id="39"/>
      <w:r>
        <w:t xml:space="preserve">保险</w:t>
      </w:r>
    </w:p>
    <w:p>
      <w:pPr>
        <w:pStyle w:val="Heading3"/>
      </w:pPr>
      <w:bookmarkStart w:id="40" w:name="中国保监会印发关于进一步加强保险监管维护保险业稳定健康发展的通知"/>
      <w:bookmarkEnd w:id="40"/>
      <w:r>
        <w:t xml:space="preserve">中国保监会印发关于进一步加强保险监管维护保险业稳定健康发展的通知</w:t>
      </w:r>
    </w:p>
    <w:p>
      <w:r>
        <w:t xml:space="preserve">2017年4月20日，为全面落实党中央、国务院关于做好金融业风险防范工作的有关部署，中国保监会印发《关于进一步加强保险监管维护保险业稳定健康发展的通知》（以下简称《通知》）。《通知》全面分析了保险业面临的形势，明确了当前和今后一个时期加强保险监管、治理市场乱象、补齐监管短板、防范行业风险的主要任务和总体要求。</w:t>
      </w:r>
    </w:p>
    <w:p>
      <w:r>
        <w:t xml:space="preserve">《通知》明确了当前和今后一段时期保险监管的主要任务。一是强化监管力度，持续整治市场乱象。始终坚持“严”字当头，严防严管严控保险市场违法违规行为。二是补齐监管短板，切实堵塞监管制度漏洞。系统梳理制度和流程，深入排查监管漏洞，尽快补齐制度短板。三是坚持底线思维，严密防控风险。明确风险防控目标，努力减少存量风险、控制增量风险。四是创新体制机制，提升保险服务实体经济能力和水平。积极把握“一带一路”、京津冀协同发展、长江经济带等国家战略的机遇，鼓励保险资金投资国家重大工程建设，参与去杠杆和服务中小微企业发展，实现金融资本与实体产业的优势互补。</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2"/>
      </w:pPr>
      <w:bookmarkStart w:id="43" w:name="行业"/>
      <w:bookmarkEnd w:id="43"/>
      <w:r>
        <w:t xml:space="preserve">行业</w:t>
      </w:r>
    </w:p>
    <w:p>
      <w:pPr>
        <w:pStyle w:val="Heading3"/>
      </w:pPr>
      <w:bookmarkStart w:id="44" w:name="商务部正式公布汽车销售管理办法"/>
      <w:bookmarkEnd w:id="44"/>
      <w:r>
        <w:t xml:space="preserve">商务部正式公布《汽车销售管理办法》</w:t>
      </w:r>
    </w:p>
    <w:p>
      <w:r>
        <w:t xml:space="preserve">近日，商务部公布了《汽车销售管理办法》（以下简称《办法》），将于2017年7月1日起施行。相比原来的办法，新规改变了汽车销售模式，打破了品牌授权单一体制，将给我国汽车流通领域带来变革。《办法》出台的同时，废止了2005年的《汽车品牌销售管理实施办法》。</w:t>
      </w:r>
    </w:p>
    <w:p>
      <w:r>
        <w:t xml:space="preserve">根据《办法》，汽车销售将实现“三多模式”，即供应商可以通过多种方式、多种渠道进行销售，经销商可以同时经营多个品牌产品、为多个品牌汽车提供售后服务，消费者可以从多种渠道购买汽车、享受服务。此外，《办法》也更加突出加强消费者权益保护。由于把供应商、经销商作为承担售后服务责任的双主体，充分尊重消费者的知情权和选择权，消费者能在购买汽车及售后服务中明白选择、自由消费、放心消费。</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最高人民法院出台文件要求完善审判监督管理"/>
      <w:bookmarkEnd w:id="47"/>
      <w:r>
        <w:t xml:space="preserve">最高人民法院出台文件，要求完善审判监督管理</w:t>
      </w:r>
    </w:p>
    <w:p>
      <w:r>
        <w:t xml:space="preserve">近日，最高人民法院印发《关于落实司法责任制完善审判监督管理机制的意见（试行）》（以下简称《审判监督管理意见》）和《关于加强各级人民法院院庭长办理案件工作的意见（试行）》（以下简称《院庭长办案意见》），就全面推开人民法院司法责任制改革，完善人民法院审判监督管理机制，切实加强各级法院院庭长办案工作，提出具体要求。</w:t>
      </w:r>
    </w:p>
    <w:p>
      <w:r>
        <w:t xml:space="preserve">《审判监督管理意见》要求，各级人民法院在法官员额制改革完成后，必须严格落实司法责任制改革要求，确保“让审理者裁判，由裁判者负责”。除审判委员会讨论决定的案件外，院庭长对其未直接参加审理案件的裁判文书不再进行审核签发，也不得以口头指示、旁听合议、文书送阅等方式变相审批案件。对于符合《最高人民法院关于完善人民法院司法责任制的若干意见》第24条规定情形之一的案件，院庭长有权要求独任法官或者合议庭报告案件进展和评议结果。另外，《院庭长办案意见》强调，各级法院院庭长入额后应当办理案件，重点审理重大、疑难、复杂、新类型和在法律适用方面具有普遍指导意义的案件。</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空气净化新规预计明年正式出台或加速行业洗牌"/>
      <w:bookmarkEnd w:id="50"/>
      <w:r>
        <w:t xml:space="preserve">空气净化新规预计明年正式出台，或加速行业洗牌</w:t>
      </w:r>
    </w:p>
    <w:p>
      <w:r>
        <w:t xml:space="preserve">近日，全国家用电器标准化技术委员会正推动净化器核心零部件标准制定，其中，《空气净化器用滤网过滤器》、《空气净化器用静电式集尘过滤器》两个行业标准已进入收尾阶段，预计2018年正式出台。</w:t>
      </w:r>
    </w:p>
    <w:p>
      <w:r>
        <w:t xml:space="preserve">据介绍，上述即将于2018年出台的两个标准的内容按照净化原理进行了区分，性能技术指标主要是单次过滤效率和容污量，前者表示净化能力，后者表示滤网使用寿命。过滤网是衡量空气净化器净化能力的核心部件。两大行业标准实施后，将为消费者选购提供直接参考。国产专业空气净化器品牌352的相关负责人表示，两项标准的推出将标志着空气净化器行业标准的初步完成，同时也意味着行业技术门槛的再次提升。届时，行业环境将得到进一步的净化，创新性和技术能力不足的企业将被淘汰，留下的企业势必得到飞速发展，并有能力为消费者提供更优质的产品和服务。</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京津冀三地联合发布建筑类涂料与胶黏剂挥发性有机化合物含量限值标准"/>
      <w:bookmarkEnd w:id="53"/>
      <w:r>
        <w:t xml:space="preserve">京津冀三地联合发布《建筑类涂料与胶黏剂挥发性有机化合物含量限值标准》</w:t>
      </w:r>
    </w:p>
    <w:p>
      <w:r>
        <w:t xml:space="preserve">近日，京津冀三地联合举行发布会公布了《建筑类涂料与胶黏剂挥发性有机化合物含量限值标准》（以下简称《标准》）。该标准将对生产、销售、使用建筑类涂料与胶黏剂的各个环节进行全过程管控，从而减少这些产品在使用过程中产生的挥发性有机物无组织排放。标准将于今年9月1日起在京津冀同步实施，这是三地在环保领域发布的首个统一标准，在形成协同地方标准体系方面迈出重要一步。</w:t>
      </w:r>
    </w:p>
    <w:p>
      <w:r>
        <w:t xml:space="preserve">《标准》限值基本上为我国现行相关标准中最严格的要求，与国际相关标准水平基本相当，实施将主要由三地的工商、质监、住建等部门协同组织，强化对生产、销售、使用等各个环节的监管。此前，北京市已经针对炼油石化、印刷、汽车制造等重点行业先后发布了7项控制挥发性排放的地方标准，但京津冀三地并没有对挥发性有机物实施统一的限制要求，影响了协同治污成效。天津、河北虽有相应标准要求，但并没有统一的限值要求，管理尺度不一。依照《京津冀协同发展规划纲要》的总体要求，经三地共同协商决定将《标准》制定为首个三地统一的环保标准。</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交通部与中国农业银行签署协议十三五重点支持农村公路项目"/>
      <w:bookmarkEnd w:id="56"/>
      <w:r>
        <w:t xml:space="preserve">交通部与中国农业银行签署协议，“十三五”重点支持农村公路项目</w:t>
      </w:r>
    </w:p>
    <w:p>
      <w:r>
        <w:t xml:space="preserve">2017年4月18日，交通运输部与中国农业银行签署《“十三五”期间全面合作框架协议》，预计“十三五”期间，农行将提供不少于6000亿元的意向性信用额度用于支持交通运输发展，其中包括1000亿元用于支持农村公路建设项目，贷款期限可达20至30年。</w:t>
      </w:r>
    </w:p>
    <w:p>
      <w:r>
        <w:t xml:space="preserve">中国农业银行将充分发挥融资能力强、县域业务广泛、网点遍布城乡等优势，不断加强金融创新，创新融资方式，提供全面的金融产品及服务，支持符合条件的交通运输企业上市和发行债券，积极推动开展大型交通运输设备设施融资租赁服务业务。交通运输部将积极发挥行业主管部门作用，定期或不定期向农行推荐有关项目，完善监督管理制度，协助农行加强融资主体诚信体系、信用实施环境等方面的建设，积极为农行信贷资金的安全运行和按期收回提供支持。</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2"/>
      </w:pPr>
      <w:bookmarkStart w:id="59" w:name="并购"/>
      <w:bookmarkEnd w:id="59"/>
      <w:r>
        <w:t xml:space="preserve">并购</w:t>
      </w:r>
    </w:p>
    <w:p>
      <w:pPr>
        <w:pStyle w:val="Heading3"/>
      </w:pPr>
      <w:bookmarkStart w:id="60" w:name="华鼎股份拟29亿收购跨境电商开启双主业发展模式"/>
      <w:bookmarkEnd w:id="60"/>
      <w:r>
        <w:t xml:space="preserve">华鼎股份拟29亿收购跨境电商，开启“双主业”发展模式</w:t>
      </w:r>
    </w:p>
    <w:p>
      <w:r>
        <w:t xml:space="preserve">2017年4月17日晚，停牌3个月的华鼎股份披露了重大资产重组预案，公司拟通过发行股份及支付现金的方式，以29亿元收购跨境电商企业深圳市通拓科技有限公司。同时，公司拟募集配套资金12.57亿元用于垂直电商平台和跨境电商产业园建设项目、支付本次交易现金对价及交易相关费用。</w:t>
      </w:r>
    </w:p>
    <w:p>
      <w:r>
        <w:t xml:space="preserve">作为专注跨境电商十余年的企业，通拓科技拥有广泛的销售渠道，销售额在各大第三方销售平台名列前茅，且多次荣获平台各种奖项。该公司已初步形成了“跨平台”、“跨品类”、“跨语种”等多维度全方位的立体式业务布局，是中国跨境电商先行者和最有竞争力的企业之一。此次交易完成后，华鼎股份将在原有锦纶长丝业务的基础上，通过此次收购引入跨境电商作为第二主业，开启“双主业”业绩驱动的业务发展模式。</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百度全资收购硅谷公司xperception加速人工智能落地"/>
      <w:bookmarkEnd w:id="63"/>
      <w:r>
        <w:t xml:space="preserve">百度全资收购硅谷公司xPerception，加速人工智能落地</w:t>
      </w:r>
    </w:p>
    <w:p>
      <w:r>
        <w:t xml:space="preserve">近日，百度宣布全资收购硅谷科技公司xPerception，但未披露具体金额。该公司创始人包英泽曾就职于全球顶级AR公司Magic Leap，一直从事感知项目方面的研发，而其另一位联合创始人陈明裕也是Magic Leap的早期核心工程师。这是百度集团总裁兼首席运营官陆奇上任之后在AI领域的第二次大型收购，其上一次收购是全资收购渡鸦科技。</w:t>
      </w:r>
    </w:p>
    <w:p>
      <w:r>
        <w:t xml:space="preserve">资料显示，xPerception是一家专注于机器视觉软硬件解决方案的科技公司，提供以立体惯性相机为核心的机器视觉软硬件产品。百度方面表示，其十分看重xPerception在机器视觉领域开创性的研究和国际一流的软硬件成果。收购后，xPerception核心团队都将加入百度研究院，继续致力于核心技术惯性视觉定位与构图（Visual Inertial SLAM）的研发，加速包括AR、自动驾驶、机器人在内的百度人工智能业务矩阵的产业化。xPerception创始人在百度的具体职位尚未披露。</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云南城投欲出27亿收购宁波银泰等八公司股权"/>
      <w:bookmarkEnd w:id="66"/>
      <w:r>
        <w:t xml:space="preserve">云南城投欲出27亿收购宁波银泰等八公司股权</w:t>
      </w:r>
    </w:p>
    <w:p>
      <w:r>
        <w:t xml:space="preserve">云南城投今日披露重大资产购买预案，其拟以不超过27亿元现金收购中国银泰等三家交易对方旗下的八家公司股权资产组成的资产包。本次交易的标的资产为交易对方持有的八家公司股权资产，包括宁波银泰、黑龙江银泰、淄博银泰、哈尔滨银旗、台州商业、台州置业、杭州西溪各70%股权，以及杭州理想20%股权。</w:t>
      </w:r>
    </w:p>
    <w:p>
      <w:r>
        <w:t xml:space="preserve">云南城投表示，本次收购标的所运营资产大部分处于杭州、宁波等长三角经济发达地区，且大部分属于城市综合体项目，预期投资回报率较高。通过本次交易，公司将实现在部分发达地区的战略布局，在区域转型方面迈出坚实的一步。</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卡地纳61亿美元收购美敦力旗下医疗用品业务"/>
      <w:bookmarkEnd w:id="69"/>
      <w:r>
        <w:t xml:space="preserve">卡地纳61亿美元收购美敦力旗下医疗用品业务</w:t>
      </w:r>
    </w:p>
    <w:p>
      <w:r>
        <w:t xml:space="preserve">美国药品经销商卡地纳健康公司（Cardinal Health）近日称，该公司将以61亿美元的价格收购医疗设备生产商美敦力公司（Medtronic）旗下的医疗用品业务，支付方式为现金。卡地纳健康公司此次收购的是麦当劳旗下病患护理、深静脉血栓形成以及营养机能不全部门。</w:t>
      </w:r>
    </w:p>
    <w:p>
      <w:r>
        <w:t xml:space="preserve">卡地纳健康公司在本月早些时候向路透社表示，该公司旗下医疗产品部门一直都是该公司业务中的亮点，预计将可实现中段到高段个位数的营收增长。目前该公司所面临的形势是，投资者对其药品经销业务变得越来越担心。卡地纳称，对于收购美敦力业务的这项交易，该公司将利用其所持现金和45亿美元的新债务来为其提供融资。</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2">
        <w:r>
          <w:rPr>
            <w:rStyle w:val="Link"/>
          </w:rPr>
          <w:t xml:space="preserve">unsubscribe@charltonslaw.com</w:t>
        </w:r>
      </w:hyperlink>
    </w:p>
    <w:p>
      <w:r>
        <w:rPr>
          <w:b/>
        </w:rPr>
        <w:t xml:space="preserve">易周律师行 - 法讯 - 中国 - 第540期 - 2017年04月24日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82e554b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www.charltonslaw.com.cn/china-news-alerts-cn-issue-540/" TargetMode="Externa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1"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2"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61" Target="http://company.stcn.com/2017/0418/13257632.shtml" TargetMode="External" /><Relationship Type="http://schemas.openxmlformats.org/officeDocument/2006/relationships/hyperlink" Id="rId67" Target="http://company.stcn.com/2017/0418/13257645.shtml" TargetMode="External" /><Relationship Type="http://schemas.openxmlformats.org/officeDocument/2006/relationships/hyperlink" Id="rId64" Target="http://finance.sina.com.cn/roll/2017-04-14/doc-ifyeimzx6288135.shtml" TargetMode="External" /><Relationship Type="http://schemas.openxmlformats.org/officeDocument/2006/relationships/hyperlink" Id="rId28" Target="http://finance.sina.com.cn/roll/2017-04-14/doc-ifyeimzx6365571.shtml" TargetMode="External" /><Relationship Type="http://schemas.openxmlformats.org/officeDocument/2006/relationships/hyperlink" Id="rId57" Target="http://finance.sina.com.cn/stock/t/2017-04-19/doc-ifyepnea4098061.shtml" TargetMode="External" /><Relationship Type="http://schemas.openxmlformats.org/officeDocument/2006/relationships/hyperlink" Id="rId70" Target="http://kuaixun.stcn.com/2017/0419/13262210.shtml" TargetMode="External" /><Relationship Type="http://schemas.openxmlformats.org/officeDocument/2006/relationships/hyperlink" Id="rId31" Target="http://news.jcrb.com/jxsw/201704/t20170413_1741666.html" TargetMode="External" /><Relationship Type="http://schemas.openxmlformats.org/officeDocument/2006/relationships/hyperlink" Id="rId51" Target="http://news.xinhuanet.com/fortune/2017-04/17/c_1120819851.htm" TargetMode="External" /><Relationship Type="http://schemas.openxmlformats.org/officeDocument/2006/relationships/hyperlink" Id="rId45" Target="http://www.chinacourt.org/article/detail/2017/04/id/2753718.shtml" TargetMode="External" /><Relationship Type="http://schemas.openxmlformats.org/officeDocument/2006/relationships/hyperlink" Id="rId34" Target="http://www.chinaforex.com.cn/index.php/cms/item-view-id-43144.shtml" TargetMode="External" /><Relationship Type="http://schemas.openxmlformats.org/officeDocument/2006/relationships/hyperlink" Id="rId37" Target="http://www.chinaforex.com.cn/index.php/cms/item-view-id-43153.shtml" TargetMode="External" /><Relationship Type="http://schemas.openxmlformats.org/officeDocument/2006/relationships/hyperlink" Id="rId41" Target="http://www.circ.gov.cn/web/site0/tab5168/info4065916.htm" TargetMode="External" /><Relationship Type="http://schemas.openxmlformats.org/officeDocument/2006/relationships/hyperlink" Id="rId48" Target="http://www.court.gov.cn/zixun-xiangqing-40562.html" TargetMode="External" /><Relationship Type="http://schemas.openxmlformats.org/officeDocument/2006/relationships/hyperlink" Id="rId54" Target="http://www.legaldaily.com.cn/index/content/2017-04/16/content_7107920.htm?node=20908" TargetMode="External" /><Relationship Type="http://schemas.openxmlformats.org/officeDocument/2006/relationships/hyperlink" Id="rId25" Target="http://www.szse.cn/main/aboutus/bsyw/39771169.shtml" TargetMode="External" /><Relationship Type="http://schemas.openxmlformats.org/officeDocument/2006/relationships/hyperlink" Id="rId72"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www.charltonslaw.com.cn/china-news-alerts-cn-issue-540/" TargetMode="Externa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1"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2"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61" Target="http://company.stcn.com/2017/0418/13257632.shtml" TargetMode="External" /><Relationship Type="http://schemas.openxmlformats.org/officeDocument/2006/relationships/hyperlink" Id="rId67" Target="http://company.stcn.com/2017/0418/13257645.shtml" TargetMode="External" /><Relationship Type="http://schemas.openxmlformats.org/officeDocument/2006/relationships/hyperlink" Id="rId64" Target="http://finance.sina.com.cn/roll/2017-04-14/doc-ifyeimzx6288135.shtml" TargetMode="External" /><Relationship Type="http://schemas.openxmlformats.org/officeDocument/2006/relationships/hyperlink" Id="rId28" Target="http://finance.sina.com.cn/roll/2017-04-14/doc-ifyeimzx6365571.shtml" TargetMode="External" /><Relationship Type="http://schemas.openxmlformats.org/officeDocument/2006/relationships/hyperlink" Id="rId57" Target="http://finance.sina.com.cn/stock/t/2017-04-19/doc-ifyepnea4098061.shtml" TargetMode="External" /><Relationship Type="http://schemas.openxmlformats.org/officeDocument/2006/relationships/hyperlink" Id="rId70" Target="http://kuaixun.stcn.com/2017/0419/13262210.shtml" TargetMode="External" /><Relationship Type="http://schemas.openxmlformats.org/officeDocument/2006/relationships/hyperlink" Id="rId31" Target="http://news.jcrb.com/jxsw/201704/t20170413_1741666.html" TargetMode="External" /><Relationship Type="http://schemas.openxmlformats.org/officeDocument/2006/relationships/hyperlink" Id="rId51" Target="http://news.xinhuanet.com/fortune/2017-04/17/c_1120819851.htm" TargetMode="External" /><Relationship Type="http://schemas.openxmlformats.org/officeDocument/2006/relationships/hyperlink" Id="rId45" Target="http://www.chinacourt.org/article/detail/2017/04/id/2753718.shtml" TargetMode="External" /><Relationship Type="http://schemas.openxmlformats.org/officeDocument/2006/relationships/hyperlink" Id="rId34" Target="http://www.chinaforex.com.cn/index.php/cms/item-view-id-43144.shtml" TargetMode="External" /><Relationship Type="http://schemas.openxmlformats.org/officeDocument/2006/relationships/hyperlink" Id="rId37" Target="http://www.chinaforex.com.cn/index.php/cms/item-view-id-43153.shtml" TargetMode="External" /><Relationship Type="http://schemas.openxmlformats.org/officeDocument/2006/relationships/hyperlink" Id="rId41" Target="http://www.circ.gov.cn/web/site0/tab5168/info4065916.htm" TargetMode="External" /><Relationship Type="http://schemas.openxmlformats.org/officeDocument/2006/relationships/hyperlink" Id="rId48" Target="http://www.court.gov.cn/zixun-xiangqing-40562.html" TargetMode="External" /><Relationship Type="http://schemas.openxmlformats.org/officeDocument/2006/relationships/hyperlink" Id="rId54" Target="http://www.legaldaily.com.cn/index/content/2017-04/16/content_7107920.htm?node=20908" TargetMode="External" /><Relationship Type="http://schemas.openxmlformats.org/officeDocument/2006/relationships/hyperlink" Id="rId25" Target="http://www.szse.cn/main/aboutus/bsyw/39771169.shtml" TargetMode="External" /><Relationship Type="http://schemas.openxmlformats.org/officeDocument/2006/relationships/hyperlink" Id="rId72"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第540期 - 2017年04月24日</dc:title>
  <dc:creator/>
</cp:coreProperties>
</file>