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第542期</w:t>
      </w:r>
      <w:r>
        <w:t xml:space="preserve"> </w:t>
      </w:r>
      <w:r>
        <w:t xml:space="preserve">-</w:t>
      </w:r>
      <w:r>
        <w:t xml:space="preserve"> </w:t>
      </w:r>
      <w:r>
        <w:t xml:space="preserve">2017年05月06日</w:t>
      </w:r>
    </w:p>
    <w:p>
      <w:hyperlink r:id="rId21">
        <w:r>
          <w:rPr>
            <w:rStyle w:val="Link"/>
          </w:rPr>
          <w:t xml:space="preserve">网络版</w:t>
        </w:r>
      </w:hyperlink>
    </w:p>
    <w:p>
      <w:pPr>
        <w:pStyle w:val="Heading1"/>
      </w:pPr>
      <w:bookmarkStart w:id="22" w:name="亚洲基础设施投资银行推首个印度项目"/>
      <w:bookmarkEnd w:id="22"/>
      <w:r>
        <w:t xml:space="preserve">亚洲基础设施投资银行推首个印度项目</w:t>
      </w:r>
    </w:p>
    <w:p>
      <w:pPr>
        <w:pStyle w:val="Heading2"/>
      </w:pPr>
      <w:bookmarkStart w:id="23" w:name="资本市场"/>
      <w:bookmarkEnd w:id="23"/>
      <w:r>
        <w:t xml:space="preserve">资本市场</w:t>
      </w:r>
    </w:p>
    <w:p>
      <w:pPr>
        <w:pStyle w:val="Heading3"/>
      </w:pPr>
      <w:bookmarkStart w:id="24" w:name="亚洲基础设施投资银行推首个印度项目-1"/>
      <w:bookmarkEnd w:id="24"/>
      <w:r>
        <w:t xml:space="preserve">亚洲基础设施投资银行推首个印度项目</w:t>
      </w:r>
    </w:p>
    <w:p>
      <w:r>
        <w:t xml:space="preserve">2017年5月3日，亚洲基础设施投资银行（以下简称“亚投行”）宣布其首个印度贷款项目获批。新开发银行也于一个月前与印度政府签订首个项目贷款协议。随着印度经济势头向好以及“一带一路”峰会的临近，印度在区域内扮演的角色及吸引的关注正在上升。</w:t>
      </w:r>
    </w:p>
    <w:p>
      <w:r>
        <w:t xml:space="preserve">亚投行董事会批准的这笔贷款金额为1.6亿美元，与世行联合融资，用于支持印度安得拉邦（Andhra Pradesh）的 24*7Power for All项目。该项目是印度联邦政府于2014年启动的全民供电（Power for All）五年计划的一部分。安得拉邦是被选为该计划第一批推开的邦。亚投行官网显示，包括该项目在内，11个待批准项目中有6个位于印度。 印度是仅次于中国的亚投行第二大股东，也是最早对亚投行倡议表示支持的国家之一。此前亚投行共批准12个项目。</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圳证券交易所和深圳证券信息有限公司发布深证节能环保指数"/>
      <w:bookmarkEnd w:id="27"/>
      <w:r>
        <w:t xml:space="preserve">深圳证券交易所和深圳证券信息有限公司发布深证节能环保指数</w:t>
      </w:r>
    </w:p>
    <w:p>
      <w:r>
        <w:t xml:space="preserve">为反映深市节能环保产业相关上市公司的整体表现，向投资者提供更丰富的指数化投资标的，深圳证券交易所（以下简称“深交所”）和深圳证券信息有限公司（以下简称“深证信息”）近日发布深证节能环保指数（以下简称“深证节能”）。该指数以2010年6月30日为基日，基点1000点。</w:t>
      </w:r>
    </w:p>
    <w:p>
      <w:r>
        <w:t xml:space="preserve">深证节能根据上市公司节能环保业务所占比例，同时结合中国节能环保集团关于绿色金融的研究成果，从深市A股中筛选样本，旨在树立节能环保产业标杆，引导社会资本投资绿色产业，服务绿色经济发展。深证节能指数样本股数量设定为100只，样本不足100只时按实际数量纳入。指数采用等权重方式加权计算，每年1月与7月进行样本股及权重因子的定期调整。根据中国节能环保集团编制的节能环保产业分类，目前属于节能环保产业范畴的A股公司共130家，其中，深市公司占71%，中小板、创业板公司合计占62%。据了解，从基日2010年6月30日至2017年3月31日，深证节能环保指数累计收益为228%，同期深证综指累计收益为110%，充分体现了深市环保产业蓬勃发展的良好势头。</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证监会就中国证监会关于开展创新创业公司债券试点的指导意见征求意见稿公开征求意见"/>
      <w:bookmarkEnd w:id="30"/>
      <w:r>
        <w:t xml:space="preserve">中国证监会就《中国证监会关于开展创新创业公司债券试点的指导意见（征求意见稿）》公开征求意见</w:t>
      </w:r>
    </w:p>
    <w:p>
      <w:r>
        <w:t xml:space="preserve">日前，证监会就《中国证监会关于开展创新创业公司债券试点的指导意见（征求意见稿）》（以下简称《指导意见》）公开征求意见。</w:t>
      </w:r>
    </w:p>
    <w:p>
      <w:r>
        <w:t xml:space="preserve">在深入推动的基础上，证监会制定《指导意见》，明确以下主要事项：一是创新创业债属于公司债券的一个子类别，遵循《证券法》《公司法》《公司债券发行与交易管理办法》和其它相关法律法规；二是发行主体范围包括创新创业公司以及募集资金专项投资于创新创业公司的公司制创业投资基金和创业投资企业；三是中国证监会、证券自律组织建立创新创业债配套机制，包括专项审核、绿色通道、统一标识等；四是允许非公开发行的创新创业债设置转股条款，满足多元化的投资需求。附可转换成股份条款的创新创业公司债，应当符合中国证监会相关监管规定。债券持有人行使转股权后，发行人股东人数不得超过200人；五是将证券公司承销创新创业公司债的情况，作为证券公司分类评价中社会责任评价的重要内容；六是鼓励相关部门和地方政府通过多种方式提供政策支持，将创新创业债纳入地方金融财税支持体系。</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银监会再公布7地方amc不良资产批量转让门槛下调"/>
      <w:bookmarkEnd w:id="33"/>
      <w:r>
        <w:t xml:space="preserve">银监会再公布7地方AMC，不良资产批量转让门槛下调</w:t>
      </w:r>
    </w:p>
    <w:p>
      <w:r>
        <w:t xml:space="preserve">银监会办公厅近日下发《关于公布云南省、湖南省、湖北省、福建省、山东省、广西壮族自治区、天津市地方资产管理公司名单的通知》（以下简称《通知》），共计7家地方资产管理公司（以下简称“AMC”）获准参与金融机构的不良资产批量转让工作。该《通知》明确批量转让是指金融企业对3户及以上不良资产进行组包，定向转让给资产管理公司的行为。分析人士指出，这意味着不良资产批量转让门槛的降低。</w:t>
      </w:r>
    </w:p>
    <w:p>
      <w:r>
        <w:t xml:space="preserve">券商分析人士认为，政策利好频出让AMC的发展迎来黄金时代，预估未来3年传统不良收购业务空间约在2万亿元。AMC公司作为最专业的不良资产处置机构，在不良资产处置方面拥有丰富经验，业务空间巨大，且有盈利空间。另有银行业人士认为，新一批地方AMC入场，将在去杠杆、市场化债转股中发挥重要作用。以债转股定价为例，过去商业银行担心国有资产流失，不良债权转让时折扣率偏高，市场成交并不活跃。新规实施后，债权转让市场化，有利于AMC公司获得风险收益比更高的资产。</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保险"/>
      <w:bookmarkEnd w:id="36"/>
      <w:r>
        <w:t xml:space="preserve">保险</w:t>
      </w:r>
    </w:p>
    <w:p>
      <w:pPr>
        <w:pStyle w:val="Heading3"/>
      </w:pPr>
      <w:bookmarkStart w:id="37" w:name="中国保监会发布保险公司章程指引"/>
      <w:bookmarkEnd w:id="37"/>
      <w:r>
        <w:t xml:space="preserve">中国保监会发布《保险公司章程指引》</w:t>
      </w:r>
    </w:p>
    <w:p>
      <w:r>
        <w:t xml:space="preserve">为着力构建风险防范的长效机制，切实提升保险公司治理有效性，近日，中国保监会发布《保险公司章程指引》（以下简称《章程指引》），进一步强化公司治理规则体系建设，丰富公司治理监管工具，夯实公司治理制度基础。</w:t>
      </w:r>
    </w:p>
    <w:p>
      <w:r>
        <w:t xml:space="preserve">《章程指引》共14章82条，针对近年来保险公司治理运作中的主要风险和章程制定中存在的突出问题，在《公司法》、《关于规范保险公司章程的意见》的基础上，以公众公司为标准，以风险监管为视角，重点针对公司治理运作中的主要风险点作出明确规定。一是明确股东权利义务。二是完善股东大会及董事会授权机制。三是完善表决决议机制。四是完善独立董事有关规则。五是规定公司治理特殊事项。《章程指引》的发布是保监会从防范公司治理风险本源入手，夯实公司治理结构基础的又一重要举措，对进一步完善公司治理机制、提升公司治理有效性具有重要意义。</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中国保监会关于保险业服务一带一路建设的指导意见"/>
      <w:bookmarkEnd w:id="40"/>
      <w:r>
        <w:t xml:space="preserve">中国保监会关于保险业服务“一带一路”建设的指导意见</w:t>
      </w:r>
    </w:p>
    <w:p>
      <w:r>
        <w:t xml:space="preserve">为深入贯彻落实党中央、国务院关于“一带一路”建设的重大决策部署，推动保险业全方位服务和保障“一带一路”建设，日前，中国保监会发布《中国保监会关于保险业服务“一带一路”建设的指导意见》（以下简称《指导意见》）。</w:t>
      </w:r>
    </w:p>
    <w:p>
      <w:r>
        <w:t xml:space="preserve">《指导意见》要求，要加快保险业国际化步伐，推动保险业“一带一路”互联互通。支持保险业稳步“走出去”，加快建设海外承保、理赔作业、救援等境外服务网络，为服务“一带一路”建设提供有效网络依托。打造交流合作平台，建立健全协同推进机制，通过组建行业战略联盟，探索建立保险业“一带一路”国际保险再保险共同体和投资共同体等方式，提升保险业服务“一带一路”建设的整体能力。加强保险监管互联互通，推动我国保险监管标准和技术输出，增强我国对国际监管规则的影响力。《指导意见》提出，要构建“一带一路”保险支持体系，大力发展出口信用保险和海外投资保险，对风险可控的项目应保尽保，推动国家重大项目加快落地，服务“一带一路”贸易畅通。</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中国保监会稳步推进保险资金支农支小融资业务创新试点"/>
      <w:bookmarkEnd w:id="43"/>
      <w:r>
        <w:t xml:space="preserve">中国保监会稳步推进保险资金支农支小融资业务创新试点</w:t>
      </w:r>
    </w:p>
    <w:p>
      <w:r>
        <w:t xml:space="preserve">为积极支持“三农”和小微企业融资，中国保监会近日批复同意中国人民保险集团股份有限公司（以下简称“中国人保”）扩大支农支小融资业务试点规模，在试点初期50亿元的基础上再增加200亿元。</w:t>
      </w:r>
    </w:p>
    <w:p>
      <w:r>
        <w:t xml:space="preserve">加强“三农”和小微企业融资服务，是金融支持实体经济和稳定就业、鼓励创业的重要内容。试点以来，中国人保创新资金运用形式，以保险资产管理产品为载体，通过间接方式将保险资金和“三农”、小微企业的融资需求对接，专项用于农业生产和企业经营。截至2016年末，支农支小融资已服务“三农”和小微企业客户5.6万户，覆盖全国27个省市，平均单笔融资规模6.3万元，融资成本低于市场水平，体现了普惠金融小额分散的特点，业务运作平稳，保险资金未发生损失。</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收"/>
      <w:bookmarkEnd w:id="46"/>
      <w:r>
        <w:t xml:space="preserve">税收</w:t>
      </w:r>
    </w:p>
    <w:p>
      <w:pPr>
        <w:pStyle w:val="Heading3"/>
      </w:pPr>
      <w:bookmarkStart w:id="47" w:name="税务总局推出大众创业万众创新税收优惠政策指引"/>
      <w:bookmarkEnd w:id="47"/>
      <w:r>
        <w:t xml:space="preserve">税务总局推出《“大众创业、万众创新”税收优惠政策指引》</w:t>
      </w:r>
    </w:p>
    <w:p>
      <w:r>
        <w:t xml:space="preserve">为了推进大众创业、万众创新，税务总局近期推出了《“大众创业 万众创新”税收优惠政策指引》（以下简称《指引》），助力广大创业创新者更好享受税收政策红利。</w:t>
      </w:r>
    </w:p>
    <w:p>
      <w:r>
        <w:t xml:space="preserve">《指引》涵盖现行有效的77项税收优惠政策，根据企业在不同阶段的不同需求，从初生、成长和成熟壮大三个环节制成企业发展的“指南针”。《指引》中第一部分便归纳了小微企业和特殊群体创业就业等方面的税收优惠政策，同时还介绍了对扶持企业成长的创新创业平台和创投企业、金融机构给予的税收优惠。《指引》第二部分介绍了研发费用加计扣除、固定资产加速折旧、以及对重点行业领域税前扣除等所得税优惠政策。《指引》第三部分总结了税收优惠政策对科技创新活动各个环节领域的支持，加快创新型企业抢占科技制高点的步伐，激励科研机构、科技人员创新，助力企业有的放矢、枝繁叶茂。</w:t>
      </w:r>
    </w:p>
    <w:p>
      <w:hyperlink r:id="rId48">
        <w:r>
          <w:rPr>
            <w:rStyle w:val="Link"/>
          </w:rPr>
          <w:t xml:space="preserve">来源</w:t>
        </w:r>
      </w:hyperlink>
      <w:r>
        <w:t xml:space="preserve"> </w:t>
      </w:r>
      <w:r>
        <w:t xml:space="preserve">(</w:t>
      </w:r>
      <w:hyperlink r:id="rId49">
        <w:r>
          <w:rPr>
            <w:rStyle w:val="Link"/>
          </w:rPr>
          <w:t xml:space="preserve">副本</w:t>
        </w:r>
      </w:hyperlink>
      <w:r>
        <w:t xml:space="preserve">) (</w:t>
      </w:r>
      <w:hyperlink r:id="rId50">
        <w:r>
          <w:rPr>
            <w:rStyle w:val="Link"/>
          </w:rPr>
          <w:t xml:space="preserve">副本</w:t>
        </w:r>
      </w:hyperlink>
      <w:r>
        <w:t xml:space="preserve">)</w:t>
      </w:r>
    </w:p>
    <w:p>
      <w:pPr>
        <w:pStyle w:val="Heading3"/>
      </w:pPr>
      <w:bookmarkStart w:id="51" w:name="税务总局财政部发布关于继续实施物流企业大宗商品仓储设施用地城镇土地使用税优惠政策的通知"/>
      <w:bookmarkEnd w:id="51"/>
      <w:r>
        <w:t xml:space="preserve">税务总局、财政部发布《关于继续实施物流企业大宗商品仓储设施用地城镇土地使用税优惠政策的通知》</w:t>
      </w:r>
    </w:p>
    <w:p>
      <w:r>
        <w:t xml:space="preserve">为进一步促进物流业健康发展，税务总局、财政部近日发布了《关于继续实施物流企业大宗商品仓储设施用地城镇土地使用税优惠政策的通知》（以下简称《通知》）。</w:t>
      </w:r>
    </w:p>
    <w:p>
      <w:r>
        <w:t xml:space="preserve">《通知》中指出，自2017年1月1日起至2019年12月31日止，对物流企业自有的（包括自用和出租）大宗商品仓储设施用地，减按所属土地等级适用税额标准的50%计征城镇土地使用税。《通知》所称的物流企业，是指至少从事仓储或运输一种经营业务，为工农业生产、流通、进出口和居民生活提供仓储、配送等第三方物流服务，实行独立核算、独立承担民事责任，并在工商部门注册登记为物流、仓储或运输的专业物流企业。 另外，物流企业的办公、生活区用地及其他非直接从事大宗商品仓储的用地，不属于本通知规定的优惠范围，应按规定征收城镇土地使用税。</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行业"/>
      <w:bookmarkEnd w:id="54"/>
      <w:r>
        <w:t xml:space="preserve">行业</w:t>
      </w:r>
    </w:p>
    <w:p>
      <w:pPr>
        <w:pStyle w:val="Heading3"/>
      </w:pPr>
      <w:bookmarkStart w:id="55" w:name="国土资源部办公厅通知分类压缩不动产登记办理时限"/>
      <w:bookmarkEnd w:id="55"/>
      <w:r>
        <w:t xml:space="preserve">国土资源部办公厅通知：分类压缩不动产登记办理时限</w:t>
      </w:r>
    </w:p>
    <w:p>
      <w:r>
        <w:t xml:space="preserve">日前，国土资源部办公厅印发《压缩不动产登记时间实施方案》的通知（以下简称《通知》），要求各地在确保登记资料移交到位、人员划转到位的基础上，进一步简化登记流程，提高登记效率，分类压缩不动产登记办理时限。</w:t>
      </w:r>
    </w:p>
    <w:p>
      <w:r>
        <w:t xml:space="preserve">《通知》要求，各地要通过创新申请方式、提高受理能力、加强业务联动、强化信息共享等措施，将一般登记业务的办理时限压缩至20个工作日，不动产抵押登记办理时限压缩至10个工作日，不动产查封登记、异议登记即时办理。政府组织开展的农村不动产登记以及未公证的继承、受遗赠涉及不动产登记等较为复杂的登记情形仍按照30个工作日办结。《通知》同时强调，各地在实施压缩不动产登记办理时限过程中，要以稳定和保护产权为基本原则，处理好不动产登记效率和质量平衡关系，在完成压缩不动产登记时间任务的基础上，实事求是确定不动产登记办理时限。</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新版互联网新闻信息服务管理规定发布新媒体被纳入管理范畴"/>
      <w:bookmarkEnd w:id="58"/>
      <w:r>
        <w:t xml:space="preserve">新版《互联网新闻信息服务管理规定》发布，新媒体被纳入管理范畴</w:t>
      </w:r>
    </w:p>
    <w:p>
      <w:r>
        <w:t xml:space="preserve">国家互联网信息办公室于2017年5月2日发布新的《互联网新闻信息服务管理规定》（以下简称《规定》），明确了互联网新闻信息服务的许可、运行、监督检查、法律责任等，并将各类新媒体纳入管理范畴。《规定》将于2017年6月1日起施行。</w:t>
      </w:r>
    </w:p>
    <w:p>
      <w:r>
        <w:t xml:space="preserve">《规定》提出，通过互联网站、应用程序、论坛、博客、微博客、公众账号、即时通信工具、网络直播等形式向社会公众提供互联网新闻信息服务，应当取得互联网新闻信息服务许可，禁止未经许可或超越许可范围开展互联网新闻信息服务活动。《规定》同时明确，未经许可或超越许可范围开展互联网新闻信息服务活动的，由国家和省、自治区、直辖市互联网信息办公室依据职责责令停止相关服务活动，处1万元以上3万元以下罚款。《规定》强调，互联网新闻信息服务提供者转载新闻信息，应当转载中央新闻单位或省、自治区、直辖市直属新闻单位等国家规定范围内的单位发布的新闻信息，注明新闻信息来源、原作者、原标题、编辑真实姓名等，不得歪曲、篡改标题原意和新闻信息内容，并保证新闻信息来源可追溯。</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食品药品监管总局发布医疗器械标准管理办法"/>
      <w:bookmarkEnd w:id="61"/>
      <w:r>
        <w:t xml:space="preserve">食品药品监管总局发布《医疗器械标准管理办法》</w:t>
      </w:r>
    </w:p>
    <w:p>
      <w:r>
        <w:t xml:space="preserve">国家食品药品监督管理总局组织对原《医疗器械标准管理办法（试行）》进行了修改，形成《医疗器械标准管理办法》（以下简称《办法》），《办法》经国家食品药品监督管理总局局务会议审议通过，自2017年7月1日起施行。</w:t>
      </w:r>
    </w:p>
    <w:p>
      <w:r>
        <w:t xml:space="preserve">本次修改主要涉及以下内容：一是理顺了医疗器械标准体系。明确医疗器械标准的分类依据及种类，即按照其效力，分为医疗器械强制性标准和推荐性标准。二是明确医疗器械标准制修订的程序，细化立项、起草、征求意见等各环节要求，确保标准质量。三是建立标准复审制度。医疗器械标准化技术委员会应当对已发布实施的医疗器械标准开展复审工作。四是强化标准的实施和监督。强调强制性标准在医疗器械监管中的地位，明确了医疗器械推荐性标准和产品技术要求的实施和监督要求。五是鼓励行业协会、社会团体和个人等社会各方参与标准化工作等。</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并购"/>
      <w:bookmarkEnd w:id="64"/>
      <w:r>
        <w:t xml:space="preserve">并购</w:t>
      </w:r>
    </w:p>
    <w:p>
      <w:pPr>
        <w:pStyle w:val="Heading3"/>
      </w:pPr>
      <w:bookmarkStart w:id="65" w:name="中国银行拟以9.78亿收购国家开发银行旗下15家村镇银行"/>
      <w:bookmarkEnd w:id="65"/>
      <w:r>
        <w:t xml:space="preserve">中国银行拟以9.78亿收购国家开发银行旗下15家村镇银行</w:t>
      </w:r>
    </w:p>
    <w:p>
      <w:r>
        <w:t xml:space="preserve">自3月20日国家开发银行在北京金融资产交易所挂牌转让15家村镇银行后，经过一个月的挂牌受让，买家终于敲定。近日，中国银行对外正式宣布，将成为这15家村镇银行的接盘方。根据公告，中行此次收购费用共计9.78亿元。</w:t>
      </w:r>
    </w:p>
    <w:p>
      <w:r>
        <w:t xml:space="preserve">中国银行此次收购的15家村镇银行将纳入旗下的中银富登村镇银行。作为全国最大的村镇银行集团，中银富登村镇银行接盘国开系村镇银行并不令外界意外。国家开发银行在挂牌转让15家村镇银行时，也罗列了14项受让方需满足的资格条件，这些条件近乎“苛刻”，可以说，也只有像中银富登村镇银行这样的“大户”，才能入国开行的“法眼”。中银富登村镇银行由中国银行与淡马锡下属的富登金融控股公司于2011年合作设立，目前已在全国12个省市设立了82家机构。此次集体转让的村镇银行所在地，大部分属于中西部地区，而在中银富登的机构版图中，中西部地区也是主要分布，占比达到78%。</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郑煤机拟5.45亿欧元收购海外汽车零部件资产"/>
      <w:bookmarkEnd w:id="68"/>
      <w:r>
        <w:t xml:space="preserve">郑煤机拟5.45亿欧元收购海外汽车零部件资产</w:t>
      </w:r>
    </w:p>
    <w:p>
      <w:r>
        <w:t xml:space="preserve">郑州煤矿机械集团股份有限公司（以下简称“郑煤机”）于2017年5月2日晚公告，公司联合其参股公司SMG Acquisition Luxembourg Holding等与Robert Bosch GmbH（以下简称“出售方”）及其下属子公司签署了《股份购买协议》等文件，以支付现金方式收购出售方所持有的博世起动机与发电机全球事业部（以下简称“SG Holding”）100%股权。本次交易的交易价格初步确定为5.45亿欧元，最终的交易价格将根据《股份购买协议》的相关约定进行调整。</w:t>
      </w:r>
    </w:p>
    <w:p>
      <w:r>
        <w:t xml:space="preserve">郑煤机表示，本次交易完成后，公司在汽车零部件业务板块将得到进一步的发展，有利于公司加强在汽车零部件市场的行业地位。SG Holding及其下属子公司将与公司现有的汽车零部件业务及传统煤炭机械制造业务形成业务及技术协同，有效促进公司的业务发展。SG Holding旗下业务包括：用于柴油和汽油系统的高效能发电机和起动机，及经济环保的启停技术和混动系统等。SG Holding起动机和发电机业务在全球汽车能源供应领域具有优势。</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创新股份55.5亿收购上海恩捷欲成世界第一大锂电隔膜供应商"/>
      <w:bookmarkEnd w:id="71"/>
      <w:r>
        <w:t xml:space="preserve">创新股份55.5亿收购上海恩捷，欲成世界第一大锂电隔膜供应商</w:t>
      </w:r>
    </w:p>
    <w:p>
      <w:r>
        <w:t xml:space="preserve">烟膜企业创新股份（以下简称“创新股份”）近日公告，拟以51.56元/股的价格发行股份1.08亿股股票，收购国内领先的锂离子电池隔离膜供应商上海恩捷的全部股权，总对价为55.5亿元，同时拟以询价方式募集配套资金不超过8亿元。</w:t>
      </w:r>
    </w:p>
    <w:p>
      <w:r>
        <w:t xml:space="preserve">创新股份称，上市公司目前业务为传统制造业，盈利稳定，现金流较好，但未来增长空间有限。本次收购完成后，公司将实现包装印刷业务和锂电池隔离膜业务双轮驱动发展。本次拟购买的标的资产所属行业为新兴制造业，在相关政策支持下，行业进入高速发展期。随着下游市场需求的不断增长，以及涂覆湿法隔膜技术的不断突 破和进一步成熟，国内湿法隔膜需求前景广阔。创新股份于去年9月登陆中小板，主要产品包括烟标和无菌包装、烟膜和平膜等BOPP薄膜以及特种纸产品。是国内为数不多生产烟膜的企业之一，也是少数有能力生产防伪印刷烟膜的企业。</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第542期 - 2017年05月06日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1b23b8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42/" TargetMode="Externa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0" Target="8a.pdf" TargetMode="External" /><Relationship Type="http://schemas.openxmlformats.org/officeDocument/2006/relationships/hyperlink" Id="rId53" Target="9.pdf" TargetMode="External" /><Relationship Type="http://schemas.openxmlformats.org/officeDocument/2006/relationships/hyperlink" Id="rId72" Target="http://company.stcn.com/2017/0502/13327171.shtml" TargetMode="External" /><Relationship Type="http://schemas.openxmlformats.org/officeDocument/2006/relationships/hyperlink" Id="rId69" Target="http://company.stcn.com/2017/0503/13327702.shtml" TargetMode="External" /><Relationship Type="http://schemas.openxmlformats.org/officeDocument/2006/relationships/hyperlink" Id="rId34" Target="http://finance.sina.com.cn/money/bank/bank_hydt/2017-04-28/doc-ifyetstt3679581.shtml" TargetMode="External" /><Relationship Type="http://schemas.openxmlformats.org/officeDocument/2006/relationships/hyperlink" Id="rId41" Target="http://finance.sina.com.cn/roll/2017-04-27/doc-ifyetstt3620628.shtml" TargetMode="External" /><Relationship Type="http://schemas.openxmlformats.org/officeDocument/2006/relationships/hyperlink" Id="rId66" Target="http://kuaixun.stcn.com/2017/0427/13315566.shtml" TargetMode="External" /><Relationship Type="http://schemas.openxmlformats.org/officeDocument/2006/relationships/hyperlink" Id="rId52" Target="http://szs.mof.gov.cn/zhengwuxinxi/zhengcefabu/201704/t20170428_2590865.html" TargetMode="External" /><Relationship Type="http://schemas.openxmlformats.org/officeDocument/2006/relationships/hyperlink" Id="rId25" Target="http://www.chinaforex.com.cn/index.php/cms/item-view-id-43313.shtml" TargetMode="External" /><Relationship Type="http://schemas.openxmlformats.org/officeDocument/2006/relationships/hyperlink" Id="rId59" Target="http://www.chinalawinfo.com/News/NewsFullText.aspx?NewsId=85497&amp;NewsType=1" TargetMode="External" /><Relationship Type="http://schemas.openxmlformats.org/officeDocument/2006/relationships/hyperlink" Id="rId38" Target="http://www.circ.gov.cn/web/site0/tab5207/info4066641.htm" TargetMode="External" /><Relationship Type="http://schemas.openxmlformats.org/officeDocument/2006/relationships/hyperlink" Id="rId44" Target="http://www.circ.gov.cn/web/site0/tab5207/info4067003.htm" TargetMode="External" /><Relationship Type="http://schemas.openxmlformats.org/officeDocument/2006/relationships/hyperlink" Id="rId31" Target="http://www.csrc.gov.cn/pub/newsite/zjhxwfb/xwdd/201704/t20170428_315940.html" TargetMode="External" /><Relationship Type="http://schemas.openxmlformats.org/officeDocument/2006/relationships/hyperlink" Id="rId48" Target="http://www.gov.cn/xinwen/2017-04/27/content_5189257.htm#1" TargetMode="External" /><Relationship Type="http://schemas.openxmlformats.org/officeDocument/2006/relationships/hyperlink" Id="rId62" Target="http://www.gov.cn/xinwen/2017-04/27/content_5189258.htm#1" TargetMode="External" /><Relationship Type="http://schemas.openxmlformats.org/officeDocument/2006/relationships/hyperlink" Id="rId56" Target="http://www.gov.cn/xinwen/2017-05/02/content_5190319.htm" TargetMode="External" /><Relationship Type="http://schemas.openxmlformats.org/officeDocument/2006/relationships/hyperlink" Id="rId28" Target="http://www.szse.cn/main/aboutus/bsyw/39771464.shtml"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42/" TargetMode="Externa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0" Target="8a.pdf" TargetMode="External" /><Relationship Type="http://schemas.openxmlformats.org/officeDocument/2006/relationships/hyperlink" Id="rId53" Target="9.pdf" TargetMode="External" /><Relationship Type="http://schemas.openxmlformats.org/officeDocument/2006/relationships/hyperlink" Id="rId72" Target="http://company.stcn.com/2017/0502/13327171.shtml" TargetMode="External" /><Relationship Type="http://schemas.openxmlformats.org/officeDocument/2006/relationships/hyperlink" Id="rId69" Target="http://company.stcn.com/2017/0503/13327702.shtml" TargetMode="External" /><Relationship Type="http://schemas.openxmlformats.org/officeDocument/2006/relationships/hyperlink" Id="rId34" Target="http://finance.sina.com.cn/money/bank/bank_hydt/2017-04-28/doc-ifyetstt3679581.shtml" TargetMode="External" /><Relationship Type="http://schemas.openxmlformats.org/officeDocument/2006/relationships/hyperlink" Id="rId41" Target="http://finance.sina.com.cn/roll/2017-04-27/doc-ifyetstt3620628.shtml" TargetMode="External" /><Relationship Type="http://schemas.openxmlformats.org/officeDocument/2006/relationships/hyperlink" Id="rId66" Target="http://kuaixun.stcn.com/2017/0427/13315566.shtml" TargetMode="External" /><Relationship Type="http://schemas.openxmlformats.org/officeDocument/2006/relationships/hyperlink" Id="rId52" Target="http://szs.mof.gov.cn/zhengwuxinxi/zhengcefabu/201704/t20170428_2590865.html" TargetMode="External" /><Relationship Type="http://schemas.openxmlformats.org/officeDocument/2006/relationships/hyperlink" Id="rId25" Target="http://www.chinaforex.com.cn/index.php/cms/item-view-id-43313.shtml" TargetMode="External" /><Relationship Type="http://schemas.openxmlformats.org/officeDocument/2006/relationships/hyperlink" Id="rId59" Target="http://www.chinalawinfo.com/News/NewsFullText.aspx?NewsId=85497&amp;NewsType=1" TargetMode="External" /><Relationship Type="http://schemas.openxmlformats.org/officeDocument/2006/relationships/hyperlink" Id="rId38" Target="http://www.circ.gov.cn/web/site0/tab5207/info4066641.htm" TargetMode="External" /><Relationship Type="http://schemas.openxmlformats.org/officeDocument/2006/relationships/hyperlink" Id="rId44" Target="http://www.circ.gov.cn/web/site0/tab5207/info4067003.htm" TargetMode="External" /><Relationship Type="http://schemas.openxmlformats.org/officeDocument/2006/relationships/hyperlink" Id="rId31" Target="http://www.csrc.gov.cn/pub/newsite/zjhxwfb/xwdd/201704/t20170428_315940.html" TargetMode="External" /><Relationship Type="http://schemas.openxmlformats.org/officeDocument/2006/relationships/hyperlink" Id="rId48" Target="http://www.gov.cn/xinwen/2017-04/27/content_5189257.htm#1" TargetMode="External" /><Relationship Type="http://schemas.openxmlformats.org/officeDocument/2006/relationships/hyperlink" Id="rId62" Target="http://www.gov.cn/xinwen/2017-04/27/content_5189258.htm#1" TargetMode="External" /><Relationship Type="http://schemas.openxmlformats.org/officeDocument/2006/relationships/hyperlink" Id="rId56" Target="http://www.gov.cn/xinwen/2017-05/02/content_5190319.htm" TargetMode="External" /><Relationship Type="http://schemas.openxmlformats.org/officeDocument/2006/relationships/hyperlink" Id="rId28" Target="http://www.szse.cn/main/aboutus/bsyw/39771464.shtml"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第542期 - 2017年05月06日</dc:title>
  <dc:creator/>
</cp:coreProperties>
</file>