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第543期</w:t>
      </w:r>
      <w:r>
        <w:t xml:space="preserve"> </w:t>
      </w:r>
      <w:r>
        <w:t xml:space="preserve">-</w:t>
      </w:r>
      <w:r>
        <w:t xml:space="preserve"> </w:t>
      </w:r>
      <w:r>
        <w:t xml:space="preserve">2017年05月12日</w:t>
      </w:r>
    </w:p>
    <w:p>
      <w:hyperlink r:id="rId21">
        <w:r>
          <w:rPr>
            <w:rStyle w:val="Link"/>
          </w:rPr>
          <w:t xml:space="preserve">网络版</w:t>
        </w:r>
      </w:hyperlink>
    </w:p>
    <w:p>
      <w:pPr>
        <w:pStyle w:val="Heading1"/>
      </w:pPr>
      <w:bookmarkStart w:id="22" w:name="中国证监会发布区域性股权市场监督管理试行办法"/>
      <w:bookmarkEnd w:id="22"/>
      <w:r>
        <w:t xml:space="preserve">中国证监会发布《区域性股权市场监督管理试行办法》</w:t>
      </w:r>
    </w:p>
    <w:p>
      <w:pPr>
        <w:pStyle w:val="Heading2"/>
      </w:pPr>
      <w:bookmarkStart w:id="23" w:name="资本市场"/>
      <w:bookmarkEnd w:id="23"/>
      <w:r>
        <w:t xml:space="preserve">资本市场</w:t>
      </w:r>
    </w:p>
    <w:p>
      <w:pPr>
        <w:pStyle w:val="Heading3"/>
      </w:pPr>
      <w:bookmarkStart w:id="24" w:name="中国证监会发布区域性股权市场监督管理试行办法-1"/>
      <w:bookmarkEnd w:id="24"/>
      <w:r>
        <w:t xml:space="preserve">中国证监会发布《区域性股权市场监督管理试行办法》</w:t>
      </w:r>
    </w:p>
    <w:p>
      <w:r>
        <w:t xml:space="preserve">近日，证监会发布《区域性股权市场监督管理试行办法》（以下简称《办法》），自2017年7月1日起施行。出台《办法》是落实《国务院办公厅关于规范发展区域性股权市场的通知》（以下简称《通知》），统一区域性股权市场业务及监管规则的需要，对于完善多层次资本市场体系，推进供给侧结构性改革、促进大众创业万众创新、服务创新驱动发展战略、降低企业杠杆率等具有积极意义。</w:t>
      </w:r>
    </w:p>
    <w:p>
      <w:r>
        <w:t xml:space="preserve">《办法》共7章，53条，主要作了以下制度安排。一是总则，明确了《办法》的立法目的和适用范围。二是证券发行与转让，明确了区域性股权市场证券发行、证券转让的条件和程序。三是账户管理与登记结算，明确开立证券账户的机构及其审查义务。四是中介服务，明确了运营机构可开展的中介业务范围及其应承担的义务。五是市场自律，明确了区域性股权市场的信息系统建设、信息报送的要求。六是监督管理，明确了现场检查可采取的措施，对行政处罚、监管措施、市场禁入、诚信监管等作出了规定，为监管执法提供依据。</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银监会正式出台押品管理指引为进一步防风险"/>
      <w:bookmarkEnd w:id="27"/>
      <w:r>
        <w:t xml:space="preserve">银监会正式出台押品管理指引，为进一步防风险</w:t>
      </w:r>
    </w:p>
    <w:p>
      <w:r>
        <w:t xml:space="preserve">银监会在公开征求意见近半年后，正式出台了《商业银行押品管理指引》（以下简称《指引》）。押品往往体现为银行贷款的第二还款来源。常年来银行“重抵押、轻信用”的放贷习惯，使押品管理成为信用风险缓释的重中之重。正因为此，银监会将商业银行抵质押品管理纳入全面风险管理体系，做出系统性要求。</w:t>
      </w:r>
    </w:p>
    <w:p>
      <w:r>
        <w:t xml:space="preserve">按照《指引》，押品是指由债务人或第三方为担保商业银行相关债权实现，所抵押或质押给商业银行，用于缓释信用风险的财产或权利。其基础分类包括金融质押品、房地产、应收账款和其他押品等，可以进一步细分。《指引》要求，商业银行应加强押品集中度管理，采取必要措施，防范因单一押品或单一种类押品占比过高产生的风险。同时，定期对押品开展压力测试，原则上每年至少进行一次，并根据测试结果采取相应的应对措施。《指引》还要求，价格波动较大的押品应适当提高重估频率，有活跃交易市场的金融质押品应进行盯市估值。一般而言，银行对股票质押属于每日盯市，及时止损平仓。</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深圳证券交易所修订信息披露工作考核办法进一步优化信息披露考核机制"/>
      <w:bookmarkEnd w:id="30"/>
      <w:r>
        <w:t xml:space="preserve">深圳证券交易所修订信息披露工作考核办法，进一步优化信息披露考核机制</w:t>
      </w:r>
    </w:p>
    <w:p>
      <w:r>
        <w:t xml:space="preserve">为了更好地适应资本市场发展以及监管形势的变化，进一步完善上市公司信息披露考核机制，促进上市公司和相关信息披露主体做好信息披露工作，近日，深圳证券交易所（以下简称“深交所”）对《深圳证券交易所上市公司信息披露工作考核办法》（以下简称《考核办法》）进行了修订，同时对公告考核方法进行了优化。</w:t>
      </w:r>
    </w:p>
    <w:p>
      <w:r>
        <w:t xml:space="preserve">据深交所有关负责人介绍，本次调整覆盖了公司日常公告披露、业务办理和信息披露工作负面清单全流程。一是优化了公告考核方法。对考核项目进行了归并整合并增加评分弹性，以更合理地反映考核的结果，并对公司公告时发生重要参数录入错误、操作风险等极端事件加大了监管力度，同时对重要和复杂的临时公告突出评分权重以确保考核结果的公平合理。二是修订了《考核办法》的考核内容和负面清单指标。结合资本市场新情况和监管实践，针对不同公司信息披露情况的差异考虑可能对考核结果的影响，纳入公司信息披露补充更正比例、对股东等信息披露义务人的配合程度、对投资者权益保护程度以及公司或其相关人员对交易所监管工作的配合程度等指标，同时将证监局采取的行政监管措施等纳入考核因素。</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港交所拟三季度推出双币计价黄金期货"/>
      <w:bookmarkEnd w:id="33"/>
      <w:r>
        <w:t xml:space="preserve">港交所拟三季度推出双币计价黄金期货</w:t>
      </w:r>
    </w:p>
    <w:p>
      <w:r>
        <w:t xml:space="preserve">港交所计划今年三季度推出以离岸人民币及美元计价的实物交收黄金期货合约。港交所此举意在向市场参与者提供更多的离岸人民币产品投资选择。目前，有关合约正在等待监管机构批准。</w:t>
      </w:r>
    </w:p>
    <w:p>
      <w:r>
        <w:t xml:space="preserve">港交所市场发展科大宗商品、衍生品及LME业务发展部主管张墨阳介绍，港交所即将推出的黄金期货与中国内地已上市交易的黄金期货的最大不同在于投资主体。上期所黄金期货现在的目标客户主要是中国内地投资者，而港交所黄金期货将面向全球投资者，无论中国内地投资者还是国外投资者都有机会参与交易。另外，二者在合约设计上也有一些差异。另外，港交所黄金期货最后交易日的制定主要考虑了两方面因素：一是接纳了黄金企业和贸易商的反馈信息；二是考虑到不同时区的跨市交易，尽量避免与纽约、伦敦等地区冲突。此外，双币种结算是港交所黄金期货的另一大亮点。</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深圳证券交易所与建设银行深化战略合作推动中小企业投融资对接"/>
      <w:bookmarkEnd w:id="36"/>
      <w:r>
        <w:t xml:space="preserve">深圳证券交易所与建设银行深化战略合作，推动中小企业投融资对接</w:t>
      </w:r>
    </w:p>
    <w:p>
      <w:r>
        <w:t xml:space="preserve">深圳证券交易所（以下简称“深交所”）与中国建设银行股份有限公司（以下简称“建设银行”）在深圳签署战略合作协议，在原有基础上进一步深化战略合作。同日，深交所下属深圳证券信息有限公司与建银国际（控股）有限公司签署战略合作协议。</w:t>
      </w:r>
    </w:p>
    <w:p>
      <w:r>
        <w:t xml:space="preserve">根据协议，双方将在境内外开展合作，共同服务创新型中小企业，实现信息共享和平台对接，推进产品创新和跨境服务，包括联合开展中小企业培育工作，推动企业上市，提供企业全生命周期的金融服务，并积极探索跨境金融服务，促进跨境资本形成。下一步，在深交所与建设银行的战略合作框架下，深圳证券信息有限公司与建银国际将在“科技型中小企业成长路线图计划2.0”平台上开展企业投融资对接和跨境金融服务，对建银国际推荐的路演项目企业进行引导培育，通过网上路演、网下对接，推动跨境投融资项目对接，积极为科技型中小企业搭建服务平台。</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中国证监会就证券基金经营机构信息技术管理办法征求意见稿公开征求意见"/>
      <w:bookmarkEnd w:id="39"/>
      <w:r>
        <w:t xml:space="preserve">中国证监会就《证券基金经营机构信息技术管理办法（征求意见稿）》公开征求意见</w:t>
      </w:r>
    </w:p>
    <w:p>
      <w:r>
        <w:t xml:space="preserve">为加强证券基金经营机构、专项业务服务机构及信息技术服务机构的信息技术管理，保障证券基金行业信息系统安全、合规运行，保护投资者合法权益，近日，中国证监会发布了《证券基金经营机构信息技术管理办法（征求意见稿）》（以下简称《办法》），向社会公开征求意见。</w:t>
      </w:r>
    </w:p>
    <w:p>
      <w:r>
        <w:t xml:space="preserve">《办法》共八章六十四条，从信息技术治理、信息技术合规管理、信息系统安全、数据安全、业务连续性管理、专项业务服务机构、信息技术服务机构、监督管理等方面提出了具体要求。《办法》在充分总结行业应用信息技术实践经验的基础上，结合经营机构、专项业务服务机构以及信息技术服务机构的特点，提出差异化监管要求，实现了证券基金业务活动中信息技术相关市场主体监管的全覆盖。《办法》通过强化经营机构、专项业务服务机构信息技术管理的主体责任，明确治理、安全、合规三条主线，着力解决近年来经营机构、专项业务服务机构信息技术管理工作中表现突出的问题。</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2"/>
      </w:pPr>
      <w:bookmarkStart w:id="42" w:name="保险"/>
      <w:bookmarkEnd w:id="42"/>
      <w:r>
        <w:t xml:space="preserve">保险</w:t>
      </w:r>
    </w:p>
    <w:p>
      <w:pPr>
        <w:pStyle w:val="Heading3"/>
      </w:pPr>
      <w:bookmarkStart w:id="43" w:name="中国保监会发布关于保险资金投资政府和社会资本合作项目有关事项的通知"/>
      <w:bookmarkEnd w:id="43"/>
      <w:r>
        <w:t xml:space="preserve">中国保监会发布《关于保险资金投资政府和社会资本合作项目有关事项的通知》</w:t>
      </w:r>
    </w:p>
    <w:p>
      <w:r>
        <w:t xml:space="preserve">为推动政府和社会资本合作（PPP）项目融资方式创新，更好支持实体经济发展，中国保监会近日印发了《关于保险资金投资政府和社会资本合作项目有关事项的通知》（以下简称《通知》），支持保险资金通过基础设施投资计划，投资符合条件的PPP项目。</w:t>
      </w:r>
    </w:p>
    <w:p>
      <w:r>
        <w:t xml:space="preserve">《通知》针对PPP项目公司融资特点，给予了充分的政策创新支持。一是拓宽投资渠道，明确保险资金可以通过基础设施投资计划形式，向PPP项目公司提供融资。二是创新投资方式，除债权、股权方式外，还可以采取股债结合等创新方式，满足PPP项目公司的融资需求。三是完善监管标准，取消对作为特殊目的载体的PPP项目公司的主体资质、信用增级等方面的硬性要求，交给市场主体自主把握。四是建立绿色通道，优先鼓励符合国家“一带一路”、京津冀协同发展、长江经济带、脱贫攻坚和河北雄安新区等发展战略的PPP项目开展融资。</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中国保监会发布保险业支持实体经济发展的指导意见"/>
      <w:bookmarkEnd w:id="46"/>
      <w:r>
        <w:t xml:space="preserve">中国保监会发布保险业支持实体经济发展的指导意见</w:t>
      </w:r>
    </w:p>
    <w:p>
      <w:r>
        <w:t xml:space="preserve">为全面贯彻落实党中央、国务院关于金融服务实体经济的决策部署，引导保险业充分发挥风险管理和保障功能，拓宽保险资金支持实体经济渠道，近日，中国保监会发布了《关于保险业支持实体经济发展的指导意见》（以下简称《指导意见》）。</w:t>
      </w:r>
    </w:p>
    <w:p>
      <w:r>
        <w:t xml:space="preserve">《指导意见》提出了四方面重点政策措施。一是构筑实体经济的风险保障体系。重点发展环境污染、食品安全等责任保险。推动个人税收递延养老保险试点政策出台并落地实施。二是引导保险资金服务国家发展战略。积极发挥保险资金融通和引导作用，助力供给侧结构性改革，支持保险资金参与市场化债转股。三是创新保险服务实体经济形式。推进中国保险业产业扶贫投资基金和扶贫公益基金，助力国家脱贫攻坚战略。发展再保险和巨灾保险，推进巨灾风险证券化业务。四是持续改进监管工作。动态审慎调整和优化比例及资本监管。研究建立保险资金非重大股权投资负面清单制度。</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中国保监会印发关于弥补监管短板构建严密有效保险监管体系的通知"/>
      <w:bookmarkEnd w:id="49"/>
      <w:r>
        <w:t xml:space="preserve">中国保监会印发关于弥补监管短板构建严密有效保险监管体系的通知</w:t>
      </w:r>
    </w:p>
    <w:p>
      <w:r>
        <w:t xml:space="preserve">近日，为进一步健全保险监管体系，促进保险业持续稳定健康发展，中国保监会印发《关于弥补监管短板构建严密有效保险监管体系的通知》（以下简称《通知》）。《通知》要求，各级保险监管部门要深入排查梳理，找准并弥补存在的短板，切实完善监管制度，改进监管方式，深化改革创新，构建严密有效的保险监管体系，提升监管效能和权威性。</w:t>
      </w:r>
    </w:p>
    <w:p>
      <w:r>
        <w:t xml:space="preserve">《通知》要求，各级保险监管部门要抓住重点领域，加快堵塞制度漏洞，补齐制度短板，解决监管制度滞后、缺位、交叉、重叠甚至相互冲突等问题。要健全公司治理监管制度，加强机构股权、入股资金真实性和关联交易监管。按照服务实体经济的导向，严格保险资金运用监管。深化偿付能力监管制度实施，对行业风险早预警、早发现、早处置。夯实保险产品管理制度，从严做好产品监管。完善保险中介市场监管制度，推动保险消费者权益保护制度体系建设，进一步强化保险公司投诉处理主体责任。完善高管人员管理制度，建立高管人员“黑名单”。提升新型业务监管水平，引导新型业务规范发展。</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2"/>
      </w:pPr>
      <w:bookmarkStart w:id="52" w:name="税收"/>
      <w:bookmarkEnd w:id="52"/>
      <w:r>
        <w:t xml:space="preserve">税收</w:t>
      </w:r>
    </w:p>
    <w:p>
      <w:pPr>
        <w:pStyle w:val="Heading3"/>
      </w:pPr>
      <w:bookmarkStart w:id="53" w:name="财政部国家税务总局压缩财税优惠办理时间"/>
      <w:bookmarkEnd w:id="53"/>
      <w:r>
        <w:t xml:space="preserve">财政部、国家税务总局：压缩财税优惠办理时间</w:t>
      </w:r>
    </w:p>
    <w:p>
      <w:r>
        <w:t xml:space="preserve">为贯彻落实国务院关于推进简政放权、放管结合、优化服务的部署和要求，进一步优化营商环境，激发创业活力，近日，财政部、国家税务总局发布了《压缩财税优惠办理时间改革实施方案》（以下简称《方案》）。</w:t>
      </w:r>
    </w:p>
    <w:p>
      <w:r>
        <w:t xml:space="preserve">《方案》提出的主要任务及具体措施包括以下内容：编制财税优惠事项清单，实行动态管理。结合权力清单、责任清单编制工作，全面梳理财税优惠政策，分别归类整理，编制财税优惠事项清单；规范优化办理流程，压缩办理时限。逐项细化财税优惠办理的流程，明确各岗位、各环节职责权限，严格规范自由裁量权；精简申报材料，减少中介服务事项。全面清理各类无谓的证明和手续，对现有规定设置的前置条件和要求的申报材料进行清理，严格论证，并作出明确规定；加强信息化建设，加快推进网上办理。对具备网上办理条件的税收优惠事项，积极推广实行网上办理，并实现办理进度和结果网上实时查询等等内容。</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税务总局部署进一步做好服务一带一路建设工作"/>
      <w:bookmarkEnd w:id="56"/>
      <w:r>
        <w:t xml:space="preserve">税务总局部署进一步做好服务“一带一路”建设工作</w:t>
      </w:r>
    </w:p>
    <w:p>
      <w:r>
        <w:t xml:space="preserve">近年来，我国税务部门与“一带一路”沿线国家加强国际税收合作，支持境内企业“走出去”和外国企业“引进来”，为实现“一带一路”沿线国家合作共赢作出积极贡献。为了指导各级税务机关更好地服务“一带一路”建设，国家税务总局近期印发《关于进一步做好税收服务“一带一路”建设工作的通知》（以下简称《通知》），《通知》从落实协定、优化服务、信息研究、强化合作等四个方面作出部署。</w:t>
      </w:r>
    </w:p>
    <w:p>
      <w:r>
        <w:t xml:space="preserve">《通知》要求各级税务机关用足用好国际税收协定，加强我国居民享受税收协定待遇的服务、管理、统计分析工作，并跟踪我国对外投资企业经营情况，配合总局做好涉税争议协商工作，保障中国“走出去”企业和来华投资企业合法税收权益。与此同时，各级税务机关要结合营改增工作，积极落实跨境应税服务退（免）税、境外所得税收抵免等国内税收优惠政策，帮助企业减轻税收负担，安心在外开展投资经营。</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2"/>
      </w:pPr>
      <w:bookmarkStart w:id="59" w:name="行业"/>
      <w:bookmarkEnd w:id="59"/>
      <w:r>
        <w:t xml:space="preserve">行业</w:t>
      </w:r>
    </w:p>
    <w:p>
      <w:pPr>
        <w:pStyle w:val="Heading3"/>
      </w:pPr>
      <w:bookmarkStart w:id="60" w:name="六部门联合发文严禁地方政府利用ppp等方式违法违规变相举债"/>
      <w:bookmarkEnd w:id="60"/>
      <w:r>
        <w:t xml:space="preserve">六部门联合发文，严禁地方政府利用PPP等方式违法违规变相举债</w:t>
      </w:r>
    </w:p>
    <w:p>
      <w:r>
        <w:t xml:space="preserve">财政部、国家发展改革委、司法部、人民银行、银监会、证监会日前联合发布《关于进一步规范地方政府举债融资行为的通知》（以下简称《通知》），要求加强融资平台公司融资管理，规范政府与社会资本方的合作行为，并将建立跨部门联合监测和防控机制，进一步规范地方政府举债融资行为。</w:t>
      </w:r>
    </w:p>
    <w:p>
      <w:r>
        <w:t xml:space="preserve">《通知》要求，切实加强融资平台公司融资管理。加快政府职能转变，处理好政府和市场的关系，进一步规范融资平台公司融资行为管理，推动融资平台公司尽快转型为市场化运营的国有企业、依法合规开展市场化融资，地方政府及其所属部门不得干预融资平台公司日常运营和市场化融资。另外，《通知》明确，将建立跨部门联合监测和防控机制。加强对政府中长期支出事项以及融资平台公司举债融资情况的监测，建立跨部门联合监管机制，对地方政府、融资平台公司、金融机构等的违法违规行为实施跨部门联合惩戒。</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2"/>
      </w:pPr>
      <w:bookmarkStart w:id="63" w:name="并购"/>
      <w:bookmarkEnd w:id="63"/>
      <w:r>
        <w:t xml:space="preserve">并购</w:t>
      </w:r>
    </w:p>
    <w:p>
      <w:pPr>
        <w:pStyle w:val="Heading3"/>
      </w:pPr>
      <w:bookmarkStart w:id="64" w:name="中弘股份拟以4.12亿美元现金收购ak"/>
      <w:bookmarkEnd w:id="64"/>
      <w:r>
        <w:t xml:space="preserve">中弘股份拟以4.12亿美元现金收购A&amp;K</w:t>
      </w:r>
    </w:p>
    <w:p>
      <w:r>
        <w:t xml:space="preserve">中弘控股股份有限公司（以下简称“中弘股份”）于2017年5月8日晚间披露，拟以4.12亿美元现金向控股股东中弘集团购买其持有的Abercrombie &amp; Kent公司（以下简称“A&amp;K”）90.5%股份，标的公司是全球顶级奢华私人订制式高端旅游服务公司。收购完成后，A&amp;K成为中弘股份控股子公司，将进一步完善公司文化旅游产业链，盘活北京、海南等区域的旅游资产。</w:t>
      </w:r>
    </w:p>
    <w:p>
      <w:r>
        <w:t xml:space="preserve">根据购买草案，此次中弘股份将通过境外子公司Neo Dynasty以现金方式向公司控股股东中弘集团的境外子公司衍昭收购其持有的A&amp;K公司90.5%股权。资料显示，就在2016年9月，衍昭已经以3.86亿美元先期完成了对A&amp;K90.5%股权的收购。因此本次交易构成关联交易。中弘股份表示，收购A&amp;K后，公司未来可以将其成熟平台引入亚洲广阔市场，进一步延伸公司旅游产业链布局。而对于A&amp;K而言，亚洲旅游资源丰富，是其重要的目的地之一；同时，亚洲是新兴市场国家，目前客户来源占比极小，因此具有很大的发展空间。</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上海凤凰与ofo共享单车战略合作对公司发展产生积极作用"/>
      <w:bookmarkEnd w:id="67"/>
      <w:r>
        <w:t xml:space="preserve">上海凤凰与OFO共享单车战略合作，对公司发展产生积极作用</w:t>
      </w:r>
    </w:p>
    <w:p>
      <w:r>
        <w:t xml:space="preserve">上海凤凰自行车有限公司（以下简称“上海凤凰”）近日公告，公司控股子公司上海凤凰自行车有限公司拟与OFO共享单车运营方东峡大通（北京）管理咨询有限公司签订《战略合作协议》，自签署该协议之日起，东峡大通或其关联公司在12个月内，向凤凰自行车提供总量不少于500万辆的采购计划。</w:t>
      </w:r>
    </w:p>
    <w:p>
      <w:r>
        <w:t xml:space="preserve">公告显示，上海凤凰与东峡大通还将在凤凰品牌宣传、自行车及零部件生产制造和技术研发等方面进行战略合作。具体而言，首先，凤凰自行车及东峡大通同意合作生产“OFO&amp;凤凰牌”共享单车，在凤凰自行车制造的所有OFO共享单车上标贴“凤凰”商标，主要投放在北京、上海等城市及其周边地区。公司表示，此协议的签订为上海凤凰与东峡大通后续合作奠定了良好的基础，将进一步提高公司在自行车行业的品牌知名度和市场影响力，提升公司产能利用效率，提高产品市场占有率，对公司未来发展产生积极作用。</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银河生物拟收购汉素生物90股权"/>
      <w:bookmarkEnd w:id="70"/>
      <w:r>
        <w:t xml:space="preserve">银河生物拟收购汉素生物90%股权</w:t>
      </w:r>
    </w:p>
    <w:p>
      <w:r>
        <w:t xml:space="preserve">近日，北海银河生物产业投资股份有限公司（以下简称“银河生物”）发布公告，公司与汉麻投资集团有限公司（以下简称“汉麻集团”）签署《合作意向书》，拟通过股权受让和增资的方式实现对汉麻集团子公司汉素生物的投资，同时，拟与汉麻集团旗下汉义生物科技（北京）有限公司（以下简称“汉义生物”）成立合资公司，整合双方资源，加快研发和生产CBD（大麻二酚）抗抑郁药物、CBD癌症镇痛药物及工业大麻花叶提取物日化系列产品。</w:t>
      </w:r>
    </w:p>
    <w:p>
      <w:r>
        <w:t xml:space="preserve">公告显示，本次银河生物的收购标的公司汉素生物拥有中国内资目前唯一一张从大麻中提取“CBD”的牌照，并正与解放军第四军医大学、解放军某部联合进行国家1.1类镇痛军特药的临床前研究；其已建成国内首个GMP标准的工业大麻生物萃取分离基地，该基地也是世界上最大的单体CBD萃取工厂。银河生物此次意向收购汉素生物90%股权，并向其增资，同时与工业大麻研究机构汉义生物成立合资公司，正是希望通过合作，推动工业大麻生物萃取分离技术的发展，加快公司在工业大麻的医疗健康等领域应用的研发、生产进程，拓宽公司未来发展空间。</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3">
        <w:r>
          <w:rPr>
            <w:rStyle w:val="Link"/>
          </w:rPr>
          <w:t xml:space="preserve">unsubscribe@charltonslaw.com</w:t>
        </w:r>
      </w:hyperlink>
    </w:p>
    <w:p>
      <w:r>
        <w:rPr>
          <w:b/>
        </w:rPr>
        <w:t xml:space="preserve">易周律师行 - 法讯 - 中国 - 第543期 - 2017年05月12日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054819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www.charltonslaw.com.cn/china-news-alerts-cn-issue-543/" TargetMode="Externa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68" Target="http://company.stcn.com/2017/0508/13336946.shtml" TargetMode="External" /><Relationship Type="http://schemas.openxmlformats.org/officeDocument/2006/relationships/hyperlink" Id="rId71" Target="http://company.stcn.com/2017/0508/13339444.shtml" TargetMode="External" /><Relationship Type="http://schemas.openxmlformats.org/officeDocument/2006/relationships/hyperlink" Id="rId65" Target="http://company.stcn.com/2017/0509/13339938.shtml" TargetMode="External" /><Relationship Type="http://schemas.openxmlformats.org/officeDocument/2006/relationships/hyperlink" Id="rId54" Target="http://finance.sina.com.cn/roll/2017-05-08/doc-ifyexxhw2752071.shtml" TargetMode="External" /><Relationship Type="http://schemas.openxmlformats.org/officeDocument/2006/relationships/hyperlink" Id="rId28" Target="http://www.chinaforex.com.cn/index.php/cms/item-view-id-43366.shtml" TargetMode="External" /><Relationship Type="http://schemas.openxmlformats.org/officeDocument/2006/relationships/hyperlink" Id="rId34" Target="http://www.chinaforex.com.cn/index.php/cms/item-view-id-43370.shtml" TargetMode="External" /><Relationship Type="http://schemas.openxmlformats.org/officeDocument/2006/relationships/hyperlink" Id="rId47" Target="http://www.circ.gov.cn/web/site0/tab5168/info4067432.htm" TargetMode="External" /><Relationship Type="http://schemas.openxmlformats.org/officeDocument/2006/relationships/hyperlink" Id="rId44" Target="http://www.circ.gov.cn/web/site0/tab5168/info4067527.htm" TargetMode="External" /><Relationship Type="http://schemas.openxmlformats.org/officeDocument/2006/relationships/hyperlink" Id="rId50" Target="http://www.circ.gov.cn/web/site0/tab5168/info4067663.htm" TargetMode="External" /><Relationship Type="http://schemas.openxmlformats.org/officeDocument/2006/relationships/hyperlink" Id="rId25" Target="http://www.csrc.gov.cn/pub/newsite/zjhxwfb/xwdd/201705/t20170505_316212.html" TargetMode="External" /><Relationship Type="http://schemas.openxmlformats.org/officeDocument/2006/relationships/hyperlink" Id="rId40" Target="http://www.csrc.gov.cn/pub/newsite/zjhxwfb/xwdd/201705/t20170505_316213.html" TargetMode="External" /><Relationship Type="http://schemas.openxmlformats.org/officeDocument/2006/relationships/hyperlink" Id="rId57" Target="http://www.gov.cn/xinwen/2017-05/06/content_5191260.htm" TargetMode="External" /><Relationship Type="http://schemas.openxmlformats.org/officeDocument/2006/relationships/hyperlink" Id="rId61" Target="http://www.legaldaily.com.cn/index_article/content/2017-05/03/content_7133081.htm?node=5955" TargetMode="External" /><Relationship Type="http://schemas.openxmlformats.org/officeDocument/2006/relationships/hyperlink" Id="rId37" Target="http://www.szse.cn/main/aboutus/bsyw/39771617.shtml" TargetMode="External" /><Relationship Type="http://schemas.openxmlformats.org/officeDocument/2006/relationships/hyperlink" Id="rId31" Target="http://www.szse.cn/main/aboutus/bsyw/39771618.shtml" TargetMode="External" /><Relationship Type="http://schemas.openxmlformats.org/officeDocument/2006/relationships/hyperlink" Id="rId73"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www.charltonslaw.com.cn/china-news-alerts-cn-issue-543/" TargetMode="Externa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68" Target="http://company.stcn.com/2017/0508/13336946.shtml" TargetMode="External" /><Relationship Type="http://schemas.openxmlformats.org/officeDocument/2006/relationships/hyperlink" Id="rId71" Target="http://company.stcn.com/2017/0508/13339444.shtml" TargetMode="External" /><Relationship Type="http://schemas.openxmlformats.org/officeDocument/2006/relationships/hyperlink" Id="rId65" Target="http://company.stcn.com/2017/0509/13339938.shtml" TargetMode="External" /><Relationship Type="http://schemas.openxmlformats.org/officeDocument/2006/relationships/hyperlink" Id="rId54" Target="http://finance.sina.com.cn/roll/2017-05-08/doc-ifyexxhw2752071.shtml" TargetMode="External" /><Relationship Type="http://schemas.openxmlformats.org/officeDocument/2006/relationships/hyperlink" Id="rId28" Target="http://www.chinaforex.com.cn/index.php/cms/item-view-id-43366.shtml" TargetMode="External" /><Relationship Type="http://schemas.openxmlformats.org/officeDocument/2006/relationships/hyperlink" Id="rId34" Target="http://www.chinaforex.com.cn/index.php/cms/item-view-id-43370.shtml" TargetMode="External" /><Relationship Type="http://schemas.openxmlformats.org/officeDocument/2006/relationships/hyperlink" Id="rId47" Target="http://www.circ.gov.cn/web/site0/tab5168/info4067432.htm" TargetMode="External" /><Relationship Type="http://schemas.openxmlformats.org/officeDocument/2006/relationships/hyperlink" Id="rId44" Target="http://www.circ.gov.cn/web/site0/tab5168/info4067527.htm" TargetMode="External" /><Relationship Type="http://schemas.openxmlformats.org/officeDocument/2006/relationships/hyperlink" Id="rId50" Target="http://www.circ.gov.cn/web/site0/tab5168/info4067663.htm" TargetMode="External" /><Relationship Type="http://schemas.openxmlformats.org/officeDocument/2006/relationships/hyperlink" Id="rId25" Target="http://www.csrc.gov.cn/pub/newsite/zjhxwfb/xwdd/201705/t20170505_316212.html" TargetMode="External" /><Relationship Type="http://schemas.openxmlformats.org/officeDocument/2006/relationships/hyperlink" Id="rId40" Target="http://www.csrc.gov.cn/pub/newsite/zjhxwfb/xwdd/201705/t20170505_316213.html" TargetMode="External" /><Relationship Type="http://schemas.openxmlformats.org/officeDocument/2006/relationships/hyperlink" Id="rId57" Target="http://www.gov.cn/xinwen/2017-05/06/content_5191260.htm" TargetMode="External" /><Relationship Type="http://schemas.openxmlformats.org/officeDocument/2006/relationships/hyperlink" Id="rId61" Target="http://www.legaldaily.com.cn/index_article/content/2017-05/03/content_7133081.htm?node=5955" TargetMode="External" /><Relationship Type="http://schemas.openxmlformats.org/officeDocument/2006/relationships/hyperlink" Id="rId37" Target="http://www.szse.cn/main/aboutus/bsyw/39771617.shtml" TargetMode="External" /><Relationship Type="http://schemas.openxmlformats.org/officeDocument/2006/relationships/hyperlink" Id="rId31" Target="http://www.szse.cn/main/aboutus/bsyw/39771618.shtml" TargetMode="External" /><Relationship Type="http://schemas.openxmlformats.org/officeDocument/2006/relationships/hyperlink" Id="rId73"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第543期 - 2017年05月12日</dc:title>
  <dc:creator/>
</cp:coreProperties>
</file>