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第544期</w:t>
      </w:r>
      <w:r>
        <w:t xml:space="preserve"> </w:t>
      </w:r>
      <w:r>
        <w:t xml:space="preserve">-</w:t>
      </w:r>
      <w:r>
        <w:t xml:space="preserve"> </w:t>
      </w:r>
      <w:r>
        <w:t xml:space="preserve">2017年05月20日</w:t>
      </w:r>
    </w:p>
    <w:p>
      <w:hyperlink r:id="rId21">
        <w:r>
          <w:rPr>
            <w:rStyle w:val="Link"/>
          </w:rPr>
          <w:t xml:space="preserve">网络版</w:t>
        </w:r>
      </w:hyperlink>
    </w:p>
    <w:p>
      <w:pPr>
        <w:pStyle w:val="Heading1"/>
      </w:pPr>
      <w:bookmarkStart w:id="22" w:name="深圳证券交易所修订独立董事备案办法进一步夯实独董履职制度基础"/>
      <w:bookmarkEnd w:id="22"/>
      <w:r>
        <w:t xml:space="preserve">深圳证券交易所修订独立董事备案办法，进一步夯实独董履职制度基础</w:t>
      </w:r>
    </w:p>
    <w:p>
      <w:pPr>
        <w:pStyle w:val="Heading2"/>
      </w:pPr>
      <w:bookmarkStart w:id="23" w:name="资本市场"/>
      <w:bookmarkEnd w:id="23"/>
      <w:r>
        <w:t xml:space="preserve">资本市场</w:t>
      </w:r>
    </w:p>
    <w:p>
      <w:pPr>
        <w:pStyle w:val="Heading3"/>
      </w:pPr>
      <w:bookmarkStart w:id="24" w:name="深圳证券交易所修订独立董事备案办法进一步夯实独董履职制度基础-1"/>
      <w:bookmarkEnd w:id="24"/>
      <w:r>
        <w:t xml:space="preserve">深圳证券交易所修订独立董事备案办法，进一步夯实独董履职制度基础</w:t>
      </w:r>
    </w:p>
    <w:p>
      <w:r>
        <w:t xml:space="preserve">为进一步充分发挥独立董事在公司治理中的积极作用，完善独立董事任职资格备案工作，近日，深圳证券交易所（以下简称“深交所”）对《深圳证券交易所独立董事备案办法》（以下简称《备案办法》）进行了修订。在本次修订过程中，深交所广泛征求了上市公司意见，相关意见已吸纳到发布稿中。</w:t>
      </w:r>
    </w:p>
    <w:p>
      <w:r>
        <w:t xml:space="preserve">据深交所有关负责人介绍，本次修订主要有以下三方面特点。一是进一步严格了独立董事任职资格的相关要求。一方面对国家相关部委出台的有关规定进行细化落实；另一方面加强持续监管，对独立董事在任职后出现不符合任职资格情形的，明确要求其在一个月内辞职，上市公司在两个月内完成补选工作。二是增加对独立董事候选人过往履职情况的关注和披露要求。针对独立董事候选人过往任职期间未亲自出席董事会会议、未按规定发表独立董事意见或发表的独立意见经证实明显与事实不符、在任期届满前被上市公司提前免职等情形，要求提名人披露具体情形、仍提名该候选人的理由、是否对上市公司规范运作和公司治理产生影响及应对措施。三是在细化任职资格要求、更加关注过往履职情况的背景下，适当放宽了独立董事候选人获得资格证书的时间要求，并适度扩大以会计专业人士身份担任独立董事的认定范围。</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央行同意中国外汇交易中心等开展香港与内地债券通"/>
      <w:bookmarkEnd w:id="27"/>
      <w:r>
        <w:t xml:space="preserve">央行：同意中国外汇交易中心等开展香港与内地债券通</w:t>
      </w:r>
    </w:p>
    <w:p>
      <w:r>
        <w:t xml:space="preserve">央行、香港金融管理局于2017年5月16日联合公告，同意中国外汇交易中心等开展香港与内地债券通，债券通正式启动时间将另行公告。</w:t>
      </w:r>
    </w:p>
    <w:p>
      <w:r>
        <w:t xml:space="preserve">“债券通”是指境内外投资者通过香港与内地债券市场基础设施机构连接，买卖两个市场交易流通债券的机制安排。初期先开通“北向通”，即香港及其他国家与地区的境外投资者（以下简称境外投资者）经由香港与内地基础设施机构之间在交易、托管、结算等方面互联互通的机制安排，投资于内地银行间债券市场。“债券通”遵循两地债券市场的相关法律法规。“北向通”遵守现行内地银行间债券市场对外开放政策框架，同时尊重国际惯例做法。“北向通”投资者和交易工具范围均与人民银行相关公告规定的范围保持一致，通过两地基础设施机构之间合作互联，境外投资者可以更加便捷地投资内地债券市场、配置人民币资产和进行相关风险管理，“北向通”没有投资额度限制。</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深圳证券交易所打造跨境金融服务体系助力一带一路建设"/>
      <w:bookmarkEnd w:id="30"/>
      <w:r>
        <w:t xml:space="preserve">深圳证券交易所打造跨境金融服务体系，助力“一带一路”建设</w:t>
      </w:r>
    </w:p>
    <w:p>
      <w:r>
        <w:t xml:space="preserve">近日，深交所分别与中国银行金边分行和海通国际（印度）在柬埔寨和印度举行中国资本与当地特色企业路演对接活动，将资本服务平台延伸至“一带一路”沿线国家。近年来，作为资本市场支持实体经济、服务国家战略的重要基础平台，深交所围绕企业跨境发展和投融资需求，延伸特色服务链条，发挥专业、服务、技术优势，打造跨境资本服务体系，积极参与“一带一路”建设。</w:t>
      </w:r>
    </w:p>
    <w:p>
      <w:r>
        <w:t xml:space="preserve">一是发挥资本平台功能，探索跨境金融产品创新。深交所通过资本市场支持上市公司开展“一带一路”重点项目，实现企业产业链跨境整合。二是构建综合性跨境资本服务平台，营造跨境金融服务生态。深交所基于与科技部火炬中心共同发起的“科技型中小企业成长路线图计划2.0”，在柬埔寨、印度搭建跨境资本服务平台，举办特色路演活动，通过网上路演、网下对接，推动跨境投融资项目对接，促进跨境资本形成。三是增强国际交流，推广深市经验，开展股权合作。深交所与“一带一路”沿线的12个国家与地区交易所签署合作备忘录。</w:t>
      </w:r>
    </w:p>
    <w:p>
      <w:hyperlink r:id="rId31">
        <w:r>
          <w:rPr>
            <w:rStyle w:val="Link"/>
          </w:rPr>
          <w:t xml:space="preserve">来源</w:t>
        </w:r>
      </w:hyperlink>
      <w:r>
        <w:t xml:space="preserve"> </w:t>
      </w:r>
      <w:r>
        <w:t xml:space="preserve">(</w:t>
      </w:r>
      <w:hyperlink r:id="rId32">
        <w:r>
          <w:rPr>
            <w:rStyle w:val="Link"/>
          </w:rPr>
          <w:t xml:space="preserve">副本</w:t>
        </w:r>
      </w:hyperlink>
      <w:r>
        <w:t xml:space="preserve">)</w:t>
      </w:r>
    </w:p>
    <w:p>
      <w:pPr>
        <w:pStyle w:val="Heading3"/>
      </w:pPr>
      <w:bookmarkStart w:id="33" w:name="上海证券交易所与马来西亚交易所交换备忘录文本服务一带一路建设"/>
      <w:bookmarkEnd w:id="33"/>
      <w:r>
        <w:t xml:space="preserve">上海证券交易所与马来西亚交易所交换备忘录文本，服务“一带一路”建设</w:t>
      </w:r>
    </w:p>
    <w:p>
      <w:r>
        <w:t xml:space="preserve">2017年5月14日下午，上海证券交易所和马来西亚交易所在北京中国大饭店举行两所备忘录文本交换仪式。上交所吴清理事长和马交所首席执行官拿督·达祖汀出席了仪式并相互交换了备忘录文本，马来西亚总理纳吉布见证了这一过程。</w:t>
      </w:r>
    </w:p>
    <w:p>
      <w:r>
        <w:t xml:space="preserve">本次备忘录的签署，是在“一带一路”建设大背景下双方加强合作的一个新的尝试。随着双方相互了解的不断加深，以及“一带一路”倡议提出以来取得快速进展，双方都认识到“一带一路”倡议不仅给沿线国家和地区经济贸易合作带来了历史性发展机遇，也为两国资本市场、两所未来发展带来巨大的机会。双方希望通过本次备忘录的签署，进一步加强交流，积极探讨新的合作空间。两所将本着精诚合作、互惠共赢的原则，在产品、市场推介、市场数据等领域进行合作，充分发挥两国资本市场的作用，服务 “一带一路”建设。</w:t>
      </w:r>
    </w:p>
    <w:p>
      <w:hyperlink r:id="rId34">
        <w:r>
          <w:rPr>
            <w:rStyle w:val="Link"/>
          </w:rPr>
          <w:t xml:space="preserve">来源</w:t>
        </w:r>
      </w:hyperlink>
      <w:r>
        <w:t xml:space="preserve"> </w:t>
      </w:r>
      <w:r>
        <w:t xml:space="preserve">(</w:t>
      </w:r>
      <w:hyperlink r:id="rId35">
        <w:r>
          <w:rPr>
            <w:rStyle w:val="Link"/>
          </w:rPr>
          <w:t xml:space="preserve">副本</w:t>
        </w:r>
      </w:hyperlink>
      <w:r>
        <w:t xml:space="preserve">)</w:t>
      </w:r>
    </w:p>
    <w:p>
      <w:pPr>
        <w:pStyle w:val="Heading2"/>
      </w:pPr>
      <w:bookmarkStart w:id="36" w:name="保险"/>
      <w:bookmarkEnd w:id="36"/>
      <w:r>
        <w:t xml:space="preserve">保险</w:t>
      </w:r>
    </w:p>
    <w:p>
      <w:pPr>
        <w:pStyle w:val="Heading3"/>
      </w:pPr>
      <w:bookmarkStart w:id="37" w:name="中国保监会开展保险资金运用风险排查专项整治工作"/>
      <w:bookmarkEnd w:id="37"/>
      <w:r>
        <w:t xml:space="preserve">中国保监会开展保险资金运用风险排查专项整治工作</w:t>
      </w:r>
    </w:p>
    <w:p>
      <w:r>
        <w:t xml:space="preserve">为坚持“保险业姓保，保监会姓监”，切实强监管、治乱象、补短板、防风险，近日，中国保监会下发《关于开展保险资金运用风险排查专项整治工作的通知》（以下简称《通知》），决定开展保险资金运用风险排查专项整治工作。</w:t>
      </w:r>
    </w:p>
    <w:p>
      <w:r>
        <w:t xml:space="preserve">《通知》明确了此次专项整治的工作重点。一是重点关注重大股票股权投资、另类及金融产品投资、不动产投资和境外投资等业务领域。二是重点梳理合规风险、监管套利、利益输送、资产质量、资产负债错配等风险点。三是重点检查利用金融产品嵌套和金融通道业务开展投资，利用金融产品、回购交易及资产抵质押融资放大投资杠杆，以及利用保险资金运用关联交易、“抽屉协议” “阴阳合同”利益输送等行为。</w:t>
      </w:r>
    </w:p>
    <w:p>
      <w:hyperlink r:id="rId38">
        <w:r>
          <w:rPr>
            <w:rStyle w:val="Link"/>
          </w:rPr>
          <w:t xml:space="preserve">来源</w:t>
        </w:r>
      </w:hyperlink>
      <w:r>
        <w:t xml:space="preserve"> </w:t>
      </w:r>
      <w:r>
        <w:t xml:space="preserve">(</w:t>
      </w:r>
      <w:hyperlink r:id="rId39">
        <w:r>
          <w:rPr>
            <w:rStyle w:val="Link"/>
          </w:rPr>
          <w:t xml:space="preserve">副本</w:t>
        </w:r>
      </w:hyperlink>
      <w:r>
        <w:t xml:space="preserve">)</w:t>
      </w:r>
    </w:p>
    <w:p>
      <w:pPr>
        <w:pStyle w:val="Heading3"/>
      </w:pPr>
      <w:bookmarkStart w:id="40" w:name="中国保监会关于执行保监发82号文件有关事宜的通知"/>
      <w:bookmarkEnd w:id="40"/>
      <w:r>
        <w:t xml:space="preserve">中国保监会关于执行保监发82号文件有关事宜的通知</w:t>
      </w:r>
    </w:p>
    <w:p>
      <w:r>
        <w:t xml:space="preserve">为切实贯彻落实《中国保监会关于做好保险专业中介业务许可工作的通知》（保监发82号）， 近日中国保监会发布《关于执行保监发82号文件有关事宜的通知》（以下简称《通知》）。</w:t>
      </w:r>
    </w:p>
    <w:p>
      <w:r>
        <w:t xml:space="preserve">《通知》明确，保险专业中介机构的法人股东出资自有、真实、合法的前提是其财务状况良好，具有以自有资金对外投资的能力。法人股东出资日上一月末净资产及货币资金均大于出资额，方可被认定为具有相应的投资能力。另外，自然人股东投资保险专业中介机构的，申请业务许可的保险专业中介机构应提交自然人股东出资日当月及前三个月（必要时可向前追溯）银行账户交易明细清单等材料，说明出资资金来源及流向，并辅之以其他应按要求提供的材料，证明股东出资自有、真实、合法。如存在股东出资资金来自于股东之外的其他单位、个人，资金性质、权属不清，或者自然人股东未提供可信的收入证明等情形，保险监管部门应重点审查、核实。保险专业中介机构未按要求提交完整材料、予以合理证明的，要依法处理。</w:t>
      </w:r>
    </w:p>
    <w:p>
      <w:hyperlink r:id="rId41">
        <w:r>
          <w:rPr>
            <w:rStyle w:val="Link"/>
          </w:rPr>
          <w:t xml:space="preserve">来源</w:t>
        </w:r>
      </w:hyperlink>
      <w:r>
        <w:t xml:space="preserve"> </w:t>
      </w:r>
      <w:r>
        <w:t xml:space="preserve">(</w:t>
      </w:r>
      <w:hyperlink r:id="rId42">
        <w:r>
          <w:rPr>
            <w:rStyle w:val="Link"/>
          </w:rPr>
          <w:t xml:space="preserve">副本</w:t>
        </w:r>
      </w:hyperlink>
      <w:r>
        <w:t xml:space="preserve">)</w:t>
      </w:r>
    </w:p>
    <w:p>
      <w:pPr>
        <w:pStyle w:val="Heading3"/>
      </w:pPr>
      <w:bookmarkStart w:id="43" w:name="中国保监会持续开展打击损害保险消费者合法权益行为亮剑行动"/>
      <w:bookmarkEnd w:id="43"/>
      <w:r>
        <w:t xml:space="preserve">中国保监会持续开展打击损害保险消费者合法权益行为“亮剑行动”</w:t>
      </w:r>
    </w:p>
    <w:p>
      <w:r>
        <w:t xml:space="preserve">近日，中国保监会印发《关于2017年继续开展打击损害保险消费者合法权益行为“亮剑行动”的通知》（以下简称《通知》），着力整治因营销失信、数据失真等市场乱象造成的损害保险消费者合法权益行为。</w:t>
      </w:r>
    </w:p>
    <w:p>
      <w:r>
        <w:t xml:space="preserve">《通知》明确了此次“亮剑行动”专项检查的工作重点。一是重点打击欺骗保险消费者、隐瞒与保险合同有关的重要情况等违规销售行为。二是重点整治保险公司客户信息不真实问题。三是重点核查保险公司对《保险小额理赔服务指引（试行）》的贯彻落实情况，整治保险公司理赔手续繁多、告知不到位、时效不及时等理赔难问题以及小额理赔数据不真实问题。《通知》要求，对查实的各类损害保险消费者合法权益行为，要依法从严从速处罚，并强化责任追究，在对直接责任人依法予以重处的同时，严肃追究公司高管人员的责任。同时，要透过问题追根溯源，查找监管短板，建立行业标准，在完善监管政策和制度机制上下功夫，逐项增补完善，不断构建科学有效的消费者权益保护制度体系和健全完善的消费者权益保护工作机制。</w:t>
      </w:r>
    </w:p>
    <w:p>
      <w:hyperlink r:id="rId44">
        <w:r>
          <w:rPr>
            <w:rStyle w:val="Link"/>
          </w:rPr>
          <w:t xml:space="preserve">来源</w:t>
        </w:r>
      </w:hyperlink>
      <w:r>
        <w:t xml:space="preserve"> </w:t>
      </w:r>
      <w:r>
        <w:t xml:space="preserve">(</w:t>
      </w:r>
      <w:hyperlink r:id="rId45">
        <w:r>
          <w:rPr>
            <w:rStyle w:val="Link"/>
          </w:rPr>
          <w:t xml:space="preserve">副本</w:t>
        </w:r>
      </w:hyperlink>
      <w:r>
        <w:t xml:space="preserve">)</w:t>
      </w:r>
    </w:p>
    <w:p>
      <w:pPr>
        <w:pStyle w:val="Heading2"/>
      </w:pPr>
      <w:bookmarkStart w:id="46" w:name="税收"/>
      <w:bookmarkEnd w:id="46"/>
      <w:r>
        <w:t xml:space="preserve">税收</w:t>
      </w:r>
    </w:p>
    <w:p>
      <w:pPr>
        <w:pStyle w:val="Heading3"/>
      </w:pPr>
      <w:bookmarkStart w:id="47" w:name="国家税务总局关于发布涉税专业服务监管办法试行的公告"/>
      <w:bookmarkEnd w:id="47"/>
      <w:r>
        <w:t xml:space="preserve">国家税务总局关于发布《涉税专业服务监管办法（试行）》的公告</w:t>
      </w:r>
    </w:p>
    <w:p>
      <w:r>
        <w:t xml:space="preserve">为深入贯彻落实国务院“放管服”改革部署要求，规范涉税专业服务，维护国家税收利益和纳税人合法权益，依据《中华人民共和国税收征收管理法》及其实施细则和国务院有关决定，国家税务总局制定了《涉税专业服务监管办法（试行）》（以下简称《办法》），现予以发布，自2017年9月1日起施行。</w:t>
      </w:r>
    </w:p>
    <w:p>
      <w:r>
        <w:t xml:space="preserve">《办法》中指出涉税专业服务是指涉税专业服务机构接受委托，利用专业知识和技能，就涉税事项向委托人提供的税务代理等服务，是指税务师事务所和从事涉税专业服务的会计师事务所、律师事务所、代理记账机构、税务代理公司、财税类咨询公司等机构。《办法》中规定，税务机关应当建立信用评价管理制度，对涉税专业服务机构从事涉税专业服务情况进行信用评价，对其从事涉税服务人员进行信用记录。另外，税务机关应当为涉税专业服务机构提供便捷的服务，依托信息化平台为信用等级高的涉税专业服务机构开展批量纳税申报、信息报送等业务提供便利化服务。</w:t>
      </w:r>
    </w:p>
    <w:p>
      <w:hyperlink r:id="rId48">
        <w:r>
          <w:rPr>
            <w:rStyle w:val="Link"/>
          </w:rPr>
          <w:t xml:space="preserve">来源</w:t>
        </w:r>
      </w:hyperlink>
      <w:r>
        <w:t xml:space="preserve"> </w:t>
      </w:r>
      <w:r>
        <w:t xml:space="preserve">(</w:t>
      </w:r>
      <w:hyperlink r:id="rId49">
        <w:r>
          <w:rPr>
            <w:rStyle w:val="Link"/>
          </w:rPr>
          <w:t xml:space="preserve">副本</w:t>
        </w:r>
      </w:hyperlink>
      <w:r>
        <w:t xml:space="preserve">)</w:t>
      </w:r>
    </w:p>
    <w:p>
      <w:pPr>
        <w:pStyle w:val="Heading2"/>
      </w:pPr>
      <w:bookmarkStart w:id="50" w:name="行业"/>
      <w:bookmarkEnd w:id="50"/>
      <w:r>
        <w:t xml:space="preserve">行业</w:t>
      </w:r>
    </w:p>
    <w:p>
      <w:pPr>
        <w:pStyle w:val="Heading3"/>
      </w:pPr>
      <w:bookmarkStart w:id="51" w:name="财政部印发资产评估行业财政监督管理办法"/>
      <w:bookmarkEnd w:id="51"/>
      <w:r>
        <w:t xml:space="preserve">财政部印发《资产评估行业财政监督管理办法》</w:t>
      </w:r>
    </w:p>
    <w:p>
      <w:r>
        <w:t xml:space="preserve">日前财政部印发了《资产评估行业财政监督管理办法》（以下简称“办法”），同时废止了《资产评估机构审批和监督管理办法》，这是《中华人民共和国资产评估法》（以下简称《资产评估法》）正式施行后，财政部贯彻和落实资产评估法的最新举措。</w:t>
      </w:r>
    </w:p>
    <w:p>
      <w:r>
        <w:t xml:space="preserve">《办法》共8章71条，分别为总则、资产评估专业人员、资产评估机构、资产评估协会、监督检查、调查处理、法律责任、附则。需要注意的是，《办法》对《资产评估法》中的违法情形予以细化，其中包括按照资产评估法的有关法律责任规定，对于资产评估专业人员违法从业的具体行为规定了相应的法律责任。另外，对资产评估法没有规定但对行业监督管理产生危害性的行为，《办法》在规章权限范围内明确了法律责任。比如，《办法》对资产评估机构违反规定，以分支机构名义出具资产评估报告并造成不良后果的或者未按照本办法规定办理分支机构备案的，规定了资产评估机构及其法定代表人或执行合伙事务的合伙人相应的法律责任。</w:t>
      </w:r>
    </w:p>
    <w:p>
      <w:hyperlink r:id="rId52">
        <w:r>
          <w:rPr>
            <w:rStyle w:val="Link"/>
          </w:rPr>
          <w:t xml:space="preserve">来源</w:t>
        </w:r>
      </w:hyperlink>
      <w:r>
        <w:t xml:space="preserve"> </w:t>
      </w:r>
      <w:r>
        <w:t xml:space="preserve">(</w:t>
      </w:r>
      <w:hyperlink r:id="rId53">
        <w:r>
          <w:rPr>
            <w:rStyle w:val="Link"/>
          </w:rPr>
          <w:t xml:space="preserve">副本</w:t>
        </w:r>
      </w:hyperlink>
      <w:r>
        <w:t xml:space="preserve">)</w:t>
      </w:r>
    </w:p>
    <w:p>
      <w:pPr>
        <w:pStyle w:val="Heading3"/>
      </w:pPr>
      <w:bookmarkStart w:id="54" w:name="国务院办公厅印发关于加快推进多证合一改革的指导意见"/>
      <w:bookmarkEnd w:id="54"/>
      <w:r>
        <w:t xml:space="preserve">国务院办公厅印发《关于加快推进“多证合一”改革的指导意见》</w:t>
      </w:r>
    </w:p>
    <w:p>
      <w:r>
        <w:t xml:space="preserve">近日，国务院办公厅印发《关于加快推进“多证合一”改革的指导意见》（以下简称《意见》），部署推进“多证合一”改革，进一步优化营商环境，解决目前仍然存在的各类证照数量过多、“准入不准营”、简政放权措施协同配套不够等问题。</w:t>
      </w:r>
    </w:p>
    <w:p>
      <w:r>
        <w:t xml:space="preserve">《意见》明确，将信息采集、记载公示、管理备查类的一般经营项目涉企证照事项，以及企业登记信息能够满足政府部门管理需要的证照事项整合到营业执照上，实行“多证合一”，使企业在办理营业执照后即能达到预定可生产经营状态，最大程度便利企业市场准入。《意见》提出，要坚持互联互通与数据共享相结合，大力推进信息共享，打通信息孤岛。各地要在更大范围、更深层次实现部门间企业基础信息和相关信用信息共享、业务协同，实现企业申请资料从“反复提交”向“一档管理”转变。要利用“互联网＋”提高政府服务效能，加快一体化网上政务服务平台建设，最终实现各种材料“一次提交、部门流转”。</w:t>
      </w:r>
    </w:p>
    <w:p>
      <w:hyperlink r:id="rId55">
        <w:r>
          <w:rPr>
            <w:rStyle w:val="Link"/>
          </w:rPr>
          <w:t xml:space="preserve">来源</w:t>
        </w:r>
      </w:hyperlink>
      <w:r>
        <w:t xml:space="preserve"> </w:t>
      </w:r>
      <w:r>
        <w:t xml:space="preserve">(</w:t>
      </w:r>
      <w:hyperlink r:id="rId56">
        <w:r>
          <w:rPr>
            <w:rStyle w:val="Link"/>
          </w:rPr>
          <w:t xml:space="preserve">副本</w:t>
        </w:r>
      </w:hyperlink>
      <w:r>
        <w:t xml:space="preserve">) (</w:t>
      </w:r>
      <w:hyperlink r:id="rId57">
        <w:r>
          <w:rPr>
            <w:rStyle w:val="Link"/>
          </w:rPr>
          <w:t xml:space="preserve">副本</w:t>
        </w:r>
      </w:hyperlink>
      <w:r>
        <w:t xml:space="preserve">)</w:t>
      </w:r>
    </w:p>
    <w:p>
      <w:pPr>
        <w:pStyle w:val="Heading3"/>
      </w:pPr>
      <w:bookmarkStart w:id="58" w:name="国土资源部发布实施国土资源行政应诉规定"/>
      <w:bookmarkEnd w:id="58"/>
      <w:r>
        <w:t xml:space="preserve">国土资源部发布实施《国土资源行政应诉规定》</w:t>
      </w:r>
    </w:p>
    <w:p>
      <w:r>
        <w:t xml:space="preserve">近日，国土资源部部长姜大明签署国土资源部第71号部令，发布实施《国土资源行政应诉规定》（以下简称《规定》）。据悉，这是新《行政诉讼法》实施两年来，专门对行政应诉工作进行规范的首部部门规章。</w:t>
      </w:r>
    </w:p>
    <w:p>
      <w:r>
        <w:t xml:space="preserve">《规定》共37条，对国土资源行政诉讼的适用范围和基本原则、职责分工和应诉准备、出庭应诉和协调化解、裁判执行、监督与保障等作出了规范。《规定》更加注重矛盾纠纷的实质性化解，对于能够通过释明法律政策引导当事人以其他途径维护合法权益，通过补充完善相关政策程序、积极履行法定职责等措施化解行政争议等情形作出了明确规定。同时，《规定》要求，对于败诉案件，应诉承办机构应当对裁判结果分析和履行情况作出书面报告，以便充分发挥行政诉讼案件的发现、反馈、纠错和监督功能；对人民法院提出的司法建议要积极研究落实，提出整改措施。</w:t>
      </w:r>
    </w:p>
    <w:p>
      <w:hyperlink r:id="rId59">
        <w:r>
          <w:rPr>
            <w:rStyle w:val="Link"/>
          </w:rPr>
          <w:t xml:space="preserve">来源</w:t>
        </w:r>
      </w:hyperlink>
      <w:r>
        <w:t xml:space="preserve"> </w:t>
      </w:r>
      <w:r>
        <w:t xml:space="preserve">(</w:t>
      </w:r>
      <w:hyperlink r:id="rId60">
        <w:r>
          <w:rPr>
            <w:rStyle w:val="Link"/>
          </w:rPr>
          <w:t xml:space="preserve">副本</w:t>
        </w:r>
      </w:hyperlink>
      <w:r>
        <w:t xml:space="preserve">)</w:t>
      </w:r>
    </w:p>
    <w:p>
      <w:pPr>
        <w:pStyle w:val="Heading3"/>
      </w:pPr>
      <w:bookmarkStart w:id="61" w:name="多部门联合印发小微企业应收账款融资专项行动工作方案2017-2019年"/>
      <w:bookmarkEnd w:id="61"/>
      <w:r>
        <w:t xml:space="preserve">多部门联合印发《小微企业应收账款融资专项行动工作方案（2017-2019年）》</w:t>
      </w:r>
    </w:p>
    <w:p>
      <w:r>
        <w:t xml:space="preserve">根据国务院统一部署，为进一步提高小微企业金融服务水平，近日，人民银行、工业和信息化部会同财政部、商务部、国资委、银监会、外汇局联合印发了《小微企业应收账款融资专项行动工作方案（2017-2019年）》（以下简称《方案》），立足实体经济，聚焦小微企业，全面实施小微企业应收账款融资专项行动。</w:t>
      </w:r>
    </w:p>
    <w:p>
      <w:r>
        <w:t xml:space="preserve">《方案》提出，要向小微企业普及应收账款融资知识，向应付账款较多企业、供应链核心企业、大型零售企业开展宣传培训，加强应收账款融资业务的推广；要推动地方政府为中小企业开展政府采购项下融资业务提供便利，支持政府采购供应商依法依规开展融资；要动员国有大企业、大型民营企业等供应链核心企业支持小微企业供应商开展在线应收账款融资业务，发挥供应链核心企业引领作用。《方案》指出，应收账款是小微企业重要的流动资产。发展应收账款融资，对于有效盘活企业存量资产，提高小微企业融资效率具有重要意义。要通过开展小微企业应收账款融资专项行动，不断丰富企业融资渠道，稳步扩大应收账款融资规模，进一步优化企业商业信用环境，促进金融与实体经济良性互动发展。</w:t>
      </w:r>
    </w:p>
    <w:p>
      <w:hyperlink r:id="rId62">
        <w:r>
          <w:rPr>
            <w:rStyle w:val="Link"/>
          </w:rPr>
          <w:t xml:space="preserve">来源</w:t>
        </w:r>
      </w:hyperlink>
      <w:r>
        <w:t xml:space="preserve"> </w:t>
      </w:r>
      <w:r>
        <w:t xml:space="preserve">(</w:t>
      </w:r>
      <w:hyperlink r:id="rId63">
        <w:r>
          <w:rPr>
            <w:rStyle w:val="Link"/>
          </w:rPr>
          <w:t xml:space="preserve">副本</w:t>
        </w:r>
      </w:hyperlink>
      <w:r>
        <w:t xml:space="preserve">) (</w:t>
      </w:r>
      <w:hyperlink r:id="rId64">
        <w:r>
          <w:rPr>
            <w:rStyle w:val="Link"/>
          </w:rPr>
          <w:t xml:space="preserve">副本</w:t>
        </w:r>
      </w:hyperlink>
      <w:r>
        <w:t xml:space="preserve">)</w:t>
      </w:r>
    </w:p>
    <w:p>
      <w:pPr>
        <w:pStyle w:val="Heading2"/>
      </w:pPr>
      <w:bookmarkStart w:id="65" w:name="并购"/>
      <w:bookmarkEnd w:id="65"/>
      <w:r>
        <w:t xml:space="preserve">并购</w:t>
      </w:r>
    </w:p>
    <w:p>
      <w:pPr>
        <w:pStyle w:val="Heading3"/>
      </w:pPr>
      <w:bookmarkStart w:id="66" w:name="汉鼎宇佑拟出资6亿收购游戏公司上海沃势"/>
      <w:bookmarkEnd w:id="66"/>
      <w:r>
        <w:t xml:space="preserve">汉鼎宇佑拟出资6亿收购游戏公司上海沃势</w:t>
      </w:r>
    </w:p>
    <w:p>
      <w:r>
        <w:t xml:space="preserve">汉鼎宇佑于2017年5月15日晚间公告，拟出资6亿元收购上海沃势文化传播有限公司（以下简称“上海沃势”）100%股权。</w:t>
      </w:r>
    </w:p>
    <w:p>
      <w:r>
        <w:t xml:space="preserve">公告显示，上海沃势注册资本220万元，成立于2013年，是移动游戏发行运营商，旗下拥有游戏平台PLAY800，业务涵盖IP改编发行、品牌营销、渠道推广等。此次上海沃势原股东承诺，2017年、2018年、2019年度该公司的净利润分别不低于6000万元、7500万元、9375万元。据了解，汉鼎宇佑正在积极通过体验式商业MALL、影院等布局线下流量入口，而通过线上游戏产业提升公司线下流量的变现能力是重要一环。本次交易有利于双方发挥各自特长优势，增强汉鼎宇佑在线上游戏领域的竞争力，完善战略布局。</w:t>
      </w:r>
    </w:p>
    <w:p>
      <w:hyperlink r:id="rId67">
        <w:r>
          <w:rPr>
            <w:rStyle w:val="Link"/>
          </w:rPr>
          <w:t xml:space="preserve">来源</w:t>
        </w:r>
      </w:hyperlink>
      <w:r>
        <w:t xml:space="preserve"> </w:t>
      </w:r>
      <w:r>
        <w:t xml:space="preserve">(</w:t>
      </w:r>
      <w:hyperlink r:id="rId68">
        <w:r>
          <w:rPr>
            <w:rStyle w:val="Link"/>
          </w:rPr>
          <w:t xml:space="preserve">副本</w:t>
        </w:r>
      </w:hyperlink>
      <w:r>
        <w:t xml:space="preserve">)</w:t>
      </w:r>
    </w:p>
    <w:p>
      <w:pPr>
        <w:pStyle w:val="Heading3"/>
      </w:pPr>
      <w:bookmarkStart w:id="69" w:name="圆通速递收购香港上市公司先达国际物流逾六成股份"/>
      <w:bookmarkEnd w:id="69"/>
      <w:r>
        <w:t xml:space="preserve">圆通速递收购香港上市公司先达国际物流逾六成股份</w:t>
      </w:r>
    </w:p>
    <w:p>
      <w:r>
        <w:t xml:space="preserve">2017年5月16日，圆通速递就其收购香港上市公司先达国际物流控股股权一事召开并购发布会。圆通速递主席兼总裁喻渭蛟表示，圆通速递希望能借此整合先达国际的全球业务资源并拓展圆通的全球布局，以香港为支点，服务内地企业“走出去”与“一带一路”倡议。</w:t>
      </w:r>
    </w:p>
    <w:p>
      <w:r>
        <w:t xml:space="preserve">此前，圆通速递发布公告宣布拟以10.41亿港元（或每股4.0698港元）对价，收购先达国际物流61.87%的股份。先达国际物流在港交所主板上市，市值约15.4亿港元，目前在全球17个国家和地区提供空运及海运货运代理业务、配套及合约物流服务以及总销售代理业务等。圆通速递副总裁郝文宁表示，先达是一家港资背景的上市公司，香港资本市场对圆通来说非常重要，任何一家快递公司如果想国际化，把触角伸到世界各地，都需要强大的资金支持，虽然圆通不缺钱，但是圆通要做大，仍需要获得更大能量的支持。</w:t>
      </w:r>
    </w:p>
    <w:p>
      <w:hyperlink r:id="rId70">
        <w:r>
          <w:rPr>
            <w:rStyle w:val="Link"/>
          </w:rPr>
          <w:t xml:space="preserve">来源</w:t>
        </w:r>
      </w:hyperlink>
      <w:r>
        <w:t xml:space="preserve"> </w:t>
      </w:r>
      <w:r>
        <w:t xml:space="preserve">(</w:t>
      </w:r>
      <w:hyperlink r:id="rId71">
        <w:r>
          <w:rPr>
            <w:rStyle w:val="Link"/>
          </w:rPr>
          <w:t xml:space="preserve">副本</w:t>
        </w:r>
      </w:hyperlink>
      <w:r>
        <w:t xml:space="preserve">)</w:t>
      </w:r>
    </w:p>
    <w:p>
      <w:pPr>
        <w:pStyle w:val="Heading3"/>
      </w:pPr>
      <w:bookmarkStart w:id="72" w:name="东方新星拟9300万控股工程咨询公司"/>
      <w:bookmarkEnd w:id="72"/>
      <w:r>
        <w:t xml:space="preserve">东方新星拟9300万控股工程咨询公司</w:t>
      </w:r>
    </w:p>
    <w:p>
      <w:r>
        <w:t xml:space="preserve">2017年5月16日，东方新星发布公告称，公司拟变更部分IPO募集资金投向，其中，用现金9333万元收购天津中德工程设计有限公司（以下简称“中德设计”）51%的股权，收购溢价123.66%。</w:t>
      </w:r>
    </w:p>
    <w:p>
      <w:r>
        <w:t xml:space="preserve">在公告中，东方新星表示，公司的发展目标是成为勘察设计与工程总承包综合服务商。通过收购行业内资质齐备、技术成熟、市场认可度高、盈利能力强的企业是公司实现协同跨越发展、提升业绩与盈利能力、实现战略目标的重要措施。中德设计主要业务为为石油及化工产品储运、市政公用燃气提供工程咨询、工程设计等服务，业务范围与东方新星在细分行业上有所差别。东方新星认为，国内石油化工行业、新型煤化工行业固定资产投资规模减小、投资进度放缓，公司近两年营业收入、净利润均出现较大幅度的下滑，而在中德设计所处的行业，成品油（气）储备库、加油（气）站迁建、扩建、新建等固定资产投资规模相对稳定。</w:t>
      </w:r>
    </w:p>
    <w:p>
      <w:hyperlink r:id="rId73">
        <w:r>
          <w:rPr>
            <w:rStyle w:val="Link"/>
          </w:rPr>
          <w:t xml:space="preserve">来源</w:t>
        </w:r>
      </w:hyperlink>
      <w:r>
        <w:t xml:space="preserve"> </w:t>
      </w:r>
      <w:r>
        <w:t xml:space="preserve">(</w:t>
      </w:r>
      <w:hyperlink r:id="rId74">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75">
        <w:r>
          <w:rPr>
            <w:rStyle w:val="Link"/>
          </w:rPr>
          <w:t xml:space="preserve">unsubscribe@charltonslaw.com</w:t>
        </w:r>
      </w:hyperlink>
    </w:p>
    <w:p>
      <w:r>
        <w:rPr>
          <w:b/>
        </w:rPr>
        <w:t xml:space="preserve">易周律师行 - 法讯 - 中国 - 第544期 - 2017年05月20日</w:t>
      </w:r>
    </w:p>
    <w:sectPr w:rsidR="005F6FFF" w:rsidRPr="00761A09" w:rsidSect="00F41B61">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d8956dd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80">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styleId="DocumentMap">
    <w:name w:val="Document Map"/>
    <w:basedOn w:val="Normal"/>
    <w:link w:val="DocumentMapChar"/>
    <w:semiHidden/>
    <w:unhideWhenUsed/>
    <w:rsid w:val="00F41B61"/>
    <w:pPr>
      <w:spacing w:after="0"/>
    </w:pPr>
    <w:rPr>
      <w:rFonts w:ascii="Times New Roman" w:hAnsi="Times New Roman" w:cs="Times New Roman"/>
    </w:rPr>
  </w:style>
  <w:style w:type="character" w:customStyle="1" w:styleId="DocumentMapChar">
    <w:name w:val="Document Map Char"/>
    <w:basedOn w:val="DefaultParagraphFont"/>
    <w:link w:val="DocumentMap"/>
    <w:semiHidden/>
    <w:rsid w:val="00F41B61"/>
    <w:rPr>
      <w:rFonts w:ascii="Times New Roman" w:hAnsi="Times New Roman" w:cs="Times New Roman"/>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1" Target="//www.charltonslaw.com.cn/china-news-alerts-cn-issue-544/" TargetMode="External" /><Relationship Type="http://schemas.openxmlformats.org/officeDocument/2006/relationships/hyperlink" Id="rId26" Target="1.pdf" TargetMode="External" /><Relationship Type="http://schemas.openxmlformats.org/officeDocument/2006/relationships/hyperlink" Id="rId56" Target="10.pdf" TargetMode="External" /><Relationship Type="http://schemas.openxmlformats.org/officeDocument/2006/relationships/hyperlink" Id="rId57" Target="10a.pdf" TargetMode="External" /><Relationship Type="http://schemas.openxmlformats.org/officeDocument/2006/relationships/hyperlink" Id="rId60" Target="11.pdf" TargetMode="External" /><Relationship Type="http://schemas.openxmlformats.org/officeDocument/2006/relationships/hyperlink" Id="rId63" Target="12.pdf" TargetMode="External" /><Relationship Type="http://schemas.openxmlformats.org/officeDocument/2006/relationships/hyperlink" Id="rId64" Target="12a.pdf" TargetMode="External" /><Relationship Type="http://schemas.openxmlformats.org/officeDocument/2006/relationships/hyperlink" Id="rId68" Target="13.pdf" TargetMode="External" /><Relationship Type="http://schemas.openxmlformats.org/officeDocument/2006/relationships/hyperlink" Id="rId71" Target="14.pdf" TargetMode="External" /><Relationship Type="http://schemas.openxmlformats.org/officeDocument/2006/relationships/hyperlink" Id="rId74" Target="15.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9" Target="5.pdf" TargetMode="External" /><Relationship Type="http://schemas.openxmlformats.org/officeDocument/2006/relationships/hyperlink" Id="rId42" Target="6.pdf" TargetMode="External" /><Relationship Type="http://schemas.openxmlformats.org/officeDocument/2006/relationships/hyperlink" Id="rId45" Target="7.pdf" TargetMode="External" /><Relationship Type="http://schemas.openxmlformats.org/officeDocument/2006/relationships/hyperlink" Id="rId49" Target="8.pdf" TargetMode="External" /><Relationship Type="http://schemas.openxmlformats.org/officeDocument/2006/relationships/hyperlink" Id="rId53" Target="9.pdf" TargetMode="External" /><Relationship Type="http://schemas.openxmlformats.org/officeDocument/2006/relationships/hyperlink" Id="rId67" Target="http://company.stcn.com/2017/0516/13355787.shtml" TargetMode="External" /><Relationship Type="http://schemas.openxmlformats.org/officeDocument/2006/relationships/hyperlink" Id="rId73" Target="http://company.stcn.com/2017/0517/13359057.shtml" TargetMode="External" /><Relationship Type="http://schemas.openxmlformats.org/officeDocument/2006/relationships/hyperlink" Id="rId70" Target="http://company.stcn.com/2017/0517/13359089.shtml" TargetMode="External" /><Relationship Type="http://schemas.openxmlformats.org/officeDocument/2006/relationships/hyperlink" Id="rId28" Target="http://kuaixun.stcn.com/2017/0516/13357559.shtml" TargetMode="External" /><Relationship Type="http://schemas.openxmlformats.org/officeDocument/2006/relationships/hyperlink" Id="rId52" Target="http://www.cfen.com.cn/cjxw/kj/201705/t20170516_2600883.html" TargetMode="External" /><Relationship Type="http://schemas.openxmlformats.org/officeDocument/2006/relationships/hyperlink" Id="rId48" Target="http://www.chinatax.gov.cn/n810341/n810755/c2608065/content.html" TargetMode="External" /><Relationship Type="http://schemas.openxmlformats.org/officeDocument/2006/relationships/hyperlink" Id="rId38" Target="http://www.circ.gov.cn/web/site0/tab5168/info4068736.htm" TargetMode="External" /><Relationship Type="http://schemas.openxmlformats.org/officeDocument/2006/relationships/hyperlink" Id="rId41" Target="http://www.circ.gov.cn/web/site0/tab5168/info4069192.htm" TargetMode="External" /><Relationship Type="http://schemas.openxmlformats.org/officeDocument/2006/relationships/hyperlink" Id="rId44" Target="http://www.circ.gov.cn/web/site0/tab5168/info4069221.htm" TargetMode="External" /><Relationship Type="http://schemas.openxmlformats.org/officeDocument/2006/relationships/hyperlink" Id="rId59" Target="http://www.gov.cn/xinwen/2017-05/13/content_5193455.htm" TargetMode="External" /><Relationship Type="http://schemas.openxmlformats.org/officeDocument/2006/relationships/hyperlink" Id="rId62" Target="http://www.gov.cn/xinwen/2017-05/18/content_5194726.htm" TargetMode="External" /><Relationship Type="http://schemas.openxmlformats.org/officeDocument/2006/relationships/hyperlink" Id="rId55" Target="http://www.saic.gov.cn/xw/zyxw/201705/t20170513_264596.html" TargetMode="External" /><Relationship Type="http://schemas.openxmlformats.org/officeDocument/2006/relationships/hyperlink" Id="rId34" Target="http://www.sse.com.cn/aboutus/mediacenter/hotandd/c/c_20170515_4310818.shtml" TargetMode="External" /><Relationship Type="http://schemas.openxmlformats.org/officeDocument/2006/relationships/hyperlink" Id="rId25" Target="http://www.szse.cn/main/aboutus/bsyw/39771741.shtml" TargetMode="External" /><Relationship Type="http://schemas.openxmlformats.org/officeDocument/2006/relationships/hyperlink" Id="rId31" Target="http://www.szse.cn/main/aboutus/bsyw/39771743.shtml" TargetMode="External" /><Relationship Type="http://schemas.openxmlformats.org/officeDocument/2006/relationships/hyperlink" Id="rId75"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1" Target="//www.charltonslaw.com.cn/china-news-alerts-cn-issue-544/" TargetMode="External" /><Relationship Type="http://schemas.openxmlformats.org/officeDocument/2006/relationships/hyperlink" Id="rId26" Target="1.pdf" TargetMode="External" /><Relationship Type="http://schemas.openxmlformats.org/officeDocument/2006/relationships/hyperlink" Id="rId56" Target="10.pdf" TargetMode="External" /><Relationship Type="http://schemas.openxmlformats.org/officeDocument/2006/relationships/hyperlink" Id="rId57" Target="10a.pdf" TargetMode="External" /><Relationship Type="http://schemas.openxmlformats.org/officeDocument/2006/relationships/hyperlink" Id="rId60" Target="11.pdf" TargetMode="External" /><Relationship Type="http://schemas.openxmlformats.org/officeDocument/2006/relationships/hyperlink" Id="rId63" Target="12.pdf" TargetMode="External" /><Relationship Type="http://schemas.openxmlformats.org/officeDocument/2006/relationships/hyperlink" Id="rId64" Target="12a.pdf" TargetMode="External" /><Relationship Type="http://schemas.openxmlformats.org/officeDocument/2006/relationships/hyperlink" Id="rId68" Target="13.pdf" TargetMode="External" /><Relationship Type="http://schemas.openxmlformats.org/officeDocument/2006/relationships/hyperlink" Id="rId71" Target="14.pdf" TargetMode="External" /><Relationship Type="http://schemas.openxmlformats.org/officeDocument/2006/relationships/hyperlink" Id="rId74" Target="15.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9" Target="5.pdf" TargetMode="External" /><Relationship Type="http://schemas.openxmlformats.org/officeDocument/2006/relationships/hyperlink" Id="rId42" Target="6.pdf" TargetMode="External" /><Relationship Type="http://schemas.openxmlformats.org/officeDocument/2006/relationships/hyperlink" Id="rId45" Target="7.pdf" TargetMode="External" /><Relationship Type="http://schemas.openxmlformats.org/officeDocument/2006/relationships/hyperlink" Id="rId49" Target="8.pdf" TargetMode="External" /><Relationship Type="http://schemas.openxmlformats.org/officeDocument/2006/relationships/hyperlink" Id="rId53" Target="9.pdf" TargetMode="External" /><Relationship Type="http://schemas.openxmlformats.org/officeDocument/2006/relationships/hyperlink" Id="rId67" Target="http://company.stcn.com/2017/0516/13355787.shtml" TargetMode="External" /><Relationship Type="http://schemas.openxmlformats.org/officeDocument/2006/relationships/hyperlink" Id="rId73" Target="http://company.stcn.com/2017/0517/13359057.shtml" TargetMode="External" /><Relationship Type="http://schemas.openxmlformats.org/officeDocument/2006/relationships/hyperlink" Id="rId70" Target="http://company.stcn.com/2017/0517/13359089.shtml" TargetMode="External" /><Relationship Type="http://schemas.openxmlformats.org/officeDocument/2006/relationships/hyperlink" Id="rId28" Target="http://kuaixun.stcn.com/2017/0516/13357559.shtml" TargetMode="External" /><Relationship Type="http://schemas.openxmlformats.org/officeDocument/2006/relationships/hyperlink" Id="rId52" Target="http://www.cfen.com.cn/cjxw/kj/201705/t20170516_2600883.html" TargetMode="External" /><Relationship Type="http://schemas.openxmlformats.org/officeDocument/2006/relationships/hyperlink" Id="rId48" Target="http://www.chinatax.gov.cn/n810341/n810755/c2608065/content.html" TargetMode="External" /><Relationship Type="http://schemas.openxmlformats.org/officeDocument/2006/relationships/hyperlink" Id="rId38" Target="http://www.circ.gov.cn/web/site0/tab5168/info4068736.htm" TargetMode="External" /><Relationship Type="http://schemas.openxmlformats.org/officeDocument/2006/relationships/hyperlink" Id="rId41" Target="http://www.circ.gov.cn/web/site0/tab5168/info4069192.htm" TargetMode="External" /><Relationship Type="http://schemas.openxmlformats.org/officeDocument/2006/relationships/hyperlink" Id="rId44" Target="http://www.circ.gov.cn/web/site0/tab5168/info4069221.htm" TargetMode="External" /><Relationship Type="http://schemas.openxmlformats.org/officeDocument/2006/relationships/hyperlink" Id="rId59" Target="http://www.gov.cn/xinwen/2017-05/13/content_5193455.htm" TargetMode="External" /><Relationship Type="http://schemas.openxmlformats.org/officeDocument/2006/relationships/hyperlink" Id="rId62" Target="http://www.gov.cn/xinwen/2017-05/18/content_5194726.htm" TargetMode="External" /><Relationship Type="http://schemas.openxmlformats.org/officeDocument/2006/relationships/hyperlink" Id="rId55" Target="http://www.saic.gov.cn/xw/zyxw/201705/t20170513_264596.html" TargetMode="External" /><Relationship Type="http://schemas.openxmlformats.org/officeDocument/2006/relationships/hyperlink" Id="rId34" Target="http://www.sse.com.cn/aboutus/mediacenter/hotandd/c/c_20170515_4310818.shtml" TargetMode="External" /><Relationship Type="http://schemas.openxmlformats.org/officeDocument/2006/relationships/hyperlink" Id="rId25" Target="http://www.szse.cn/main/aboutus/bsyw/39771741.shtml" TargetMode="External" /><Relationship Type="http://schemas.openxmlformats.org/officeDocument/2006/relationships/hyperlink" Id="rId31" Target="http://www.szse.cn/main/aboutus/bsyw/39771743.shtml" TargetMode="External" /><Relationship Type="http://schemas.openxmlformats.org/officeDocument/2006/relationships/hyperlink" Id="rId75"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Macintosh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第544期 - 2017年05月20日</dc:title>
  <dc:creator/>
</cp:coreProperties>
</file>