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第546期</w:t>
      </w:r>
      <w:r>
        <w:t xml:space="preserve"> </w:t>
      </w:r>
      <w:r>
        <w:t xml:space="preserve">-</w:t>
      </w:r>
      <w:r>
        <w:t xml:space="preserve"> </w:t>
      </w:r>
      <w:r>
        <w:t xml:space="preserve">2017年06月03日</w:t>
      </w:r>
    </w:p>
    <w:p>
      <w:hyperlink r:id="rId21">
        <w:r>
          <w:rPr>
            <w:rStyle w:val="Link"/>
          </w:rPr>
          <w:t xml:space="preserve">网络版</w:t>
        </w:r>
      </w:hyperlink>
    </w:p>
    <w:p>
      <w:pPr>
        <w:pStyle w:val="Heading1"/>
      </w:pPr>
      <w:bookmarkStart w:id="22" w:name="中国证监会发布上市公司股东董监高减持股份的若干规定"/>
      <w:bookmarkEnd w:id="22"/>
      <w:r>
        <w:t xml:space="preserve">中国证监会发布《上市公司股东、董监高减持股份的若干规定》</w:t>
      </w:r>
    </w:p>
    <w:p>
      <w:pPr>
        <w:pStyle w:val="Heading2"/>
      </w:pPr>
      <w:bookmarkStart w:id="23" w:name="资本市场"/>
      <w:bookmarkEnd w:id="23"/>
      <w:r>
        <w:t xml:space="preserve">资本市场</w:t>
      </w:r>
    </w:p>
    <w:p>
      <w:pPr>
        <w:pStyle w:val="Heading3"/>
      </w:pPr>
      <w:bookmarkStart w:id="24" w:name="中国证监会发布上市公司股东董监高减持股份的若干规定-1"/>
      <w:bookmarkEnd w:id="24"/>
      <w:r>
        <w:t xml:space="preserve">中国证监会发布《上市公司股东、董监高减持股份的若干规定》</w:t>
      </w:r>
    </w:p>
    <w:p>
      <w:r>
        <w:t xml:space="preserve">近日，证监会发布了《上市公司股东、董监高减持股份的若干规定》（证监会公告〔2017〕9号）（以下简称《规定》），进一步规范了上市公司有关股东减持股份行为，完善了上市公司股份减持制度，上海证券交易所、深圳证券交易所也出台了完善减持制度的专门规则。</w:t>
      </w:r>
    </w:p>
    <w:p>
      <w:r>
        <w:t xml:space="preserve">《规定》在保持现行持股锁定期、减持数量比例规范等相关制度规则不变的基础上，专门重点针对突出问题，充分借鉴境外证券市场减持制度经验，对现行减持制度做进一步完善，有效规范股东减持股份行为。其主要措施包括但不限于以下内容：完善大宗交易制度，防范“过桥减持”。明确有关股东通过大宗交易减持股份时，出让方、受让方的减持数量和持股期限要求；引导持有上市公司非公开发行股份的股东在股份锁定期届满后规范、理性、有序减持；进一步规范持有首次公开发行前发行的股份和上市公司非公开发行的股份的股东的减持行为；健全减持计划的信息披露制度。明确减持的信息披露要求，进一步健全和完善上市公司大股东、董监高转让股份的事前、事中和事后报告、备案、披露制度，防范和避免故意利用信息披露进行“精准式”减持。</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证监会调整可转债等发行方式并相应修订证券发行与承销管理办法"/>
      <w:bookmarkEnd w:id="27"/>
      <w:r>
        <w:t xml:space="preserve">中国证监会调整可转债等发行方式并相应修订《证券发行与承销管理办法》</w:t>
      </w:r>
    </w:p>
    <w:p>
      <w:r>
        <w:t xml:space="preserve">为解决可转债和可交换债发行过程中产生的较大规模资金冻结问题，中国证监会拟进一步完善可转债、可交换债发行方式，将现行的资金申购改为信用申购，相应对《证券发行与承销管理办法》个别条款进行修订，并从今天开始就修订内容公开征求意见，同步启动证券交易结算系统技术改造工作。</w:t>
      </w:r>
    </w:p>
    <w:p>
      <w:r>
        <w:t xml:space="preserve">现行可转债、可交换债的发行采用资金申购方式，易产生较大规模冻结资金，对货币市场和债券市场造成一定的扰动。本次改革将申购时预先缴款调整为确定配售数量后再进行缴款。取消申购环节预缴款后，为约束网上投资者获配后不缴款的失信行为，借鉴现行首发新股申购监管经验，建立统一的首发和可转债、可交换债网上信用申购违约惩戒机制；承销商还可根据发行规模设置合理的网上申购上限。对于网下投资者，承销商今后不再按申购金额的比例收取保证金，基于管理承销风险的考虑，可向网下单一申购账户收取不超过50万元的申购保证金，并在发行公告中明确约定网下投资者违约时申购保证金处理方式。可交换债的网上发行由现行时间优先的配售方式调整为与可转债相同的摇号中签方式进行分配。</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首单小公募创新创业公司债在深圳证券交易所上市"/>
      <w:bookmarkEnd w:id="30"/>
      <w:r>
        <w:t xml:space="preserve">首单小公募创新创业公司债在深圳证券交易所上市</w:t>
      </w:r>
    </w:p>
    <w:p>
      <w:r>
        <w:t xml:space="preserve">近日，交易所市场首只小公募创新创业公司债“17阳普S1”在深圳证券交易所（以下简称“深交所”）上市，发行规模3亿元，票面利率5.65%，发行人为创业板公司广州阳普医疗科技股份有限公司，主体评级AA-，债项评级为AAA，由深圳市高新投集团有限公司提供增信担保。</w:t>
      </w:r>
    </w:p>
    <w:p>
      <w:r>
        <w:t xml:space="preserve">发行人位于国家“双创”示范基地广州高新技术产业开发区，属于国家重点支持的生物与新医药领域，获国家高新技术企业认证。该债的成功发行，有助于鼓励重点区域创新创业公司通过交易所创新创业公司债券融资，推动资本市场精准服务创新创业。深交所认真落实中国证监会关于创新创业公司债“专人对接、专项审核、即报即审”的政策要求，“17阳普S1”审批时间较一般公司债大幅缩短。“17阳普S1”融资成本较低，与同资质公司8%左右的债券利率相比，发行人以较低的利率锁定了5年期融资3亿元，拓宽了企业中长期资金来源。</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深圳证券交易所与孟买证券交易所签署合作谅解备忘录"/>
      <w:bookmarkEnd w:id="33"/>
      <w:r>
        <w:t xml:space="preserve">深圳证券交易所与孟买证券交易所签署合作谅解备忘录</w:t>
      </w:r>
    </w:p>
    <w:p>
      <w:r>
        <w:t xml:space="preserve">日前，深圳证券交易所（以下简称“深交所”）与印度孟买证券交易所（BSE Limited，以下简称“孟买交易所”）签署合作谅解备忘录，共同推动资本市场合作，服务两国中小企业、创新企业发展。</w:t>
      </w:r>
    </w:p>
    <w:p>
      <w:r>
        <w:t xml:space="preserve">根据协议，深交所与孟买交易所将建立常态化交流机制，探索开展中印跨境资本市场合作。一是相互借鉴创新型中小企业监管服务体系，探索延伸各自服务链条，推动特色产品在对方市场的展示，促进中印新兴产业有效对接。二是加强指数产品合作研究，为对方核心指数产品在本地市场推广创造条件，推动本土机构开发追踪对方市场核心指数的基金产品，丰富跨境投资品种。孟买交易所成立于1875年，截至2016年底共有上市公司5820家，全球排名第一，股票市值1.56万亿美元，全球排名第十三。孟买交易所大力支持中小企业、创新经济发展，与深交所在建设多层次市场、强化一线监管和完善市场服务等方面具备广阔的交流合作空间。</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监会发布大中型商业银行设立普惠金融事业部实施方案"/>
      <w:bookmarkEnd w:id="36"/>
      <w:r>
        <w:t xml:space="preserve">银监会发布大中型商业银行设立普惠金融事业部实施方案</w:t>
      </w:r>
    </w:p>
    <w:p>
      <w:r>
        <w:t xml:space="preserve">近日，银监会印发《大中型商业银行设立普惠金融事业部实施方案》（以下简称《实施方案》），推动大中型商业银行设立聚焦小微企业、“三农”、创业创新群体和脱贫攻坚等领域的普惠金融事业部。</w:t>
      </w:r>
    </w:p>
    <w:p>
      <w:r>
        <w:t xml:space="preserve">《实施方案》明确了大中型商业银行设立普惠金融事业部的总体目标，通过建立适应普惠金融服务需要的事业部管理体制，构建科学的治理机制和组织架构，健全专业化服务体系，提高普惠金融服务能力，缓解小微企业、“三农”、创业创新、脱贫攻坚等领域的融资难、融资贵问题，体现普惠金融服务的普及性、便利性和优惠性，提高金融服务覆盖率和可得性，为实体经济提供有效支持，防止脱实向虚。为确保相关工作措施有效落地，《实施方案》还就组织实施和完成时限提出了明确要求。大型商业银行将于2017年内完成普惠金融事业部设立，成为发展普惠金融的骨干力量。</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上海证券交易所与莫斯科交易所签署战略合作协议"/>
      <w:bookmarkEnd w:id="39"/>
      <w:r>
        <w:t xml:space="preserve">上海证券交易所与莫斯科交易所签署战略合作协议</w:t>
      </w:r>
    </w:p>
    <w:p>
      <w:r>
        <w:t xml:space="preserve">近日，上海证券交易所（以下简称“上交所”）和莫斯科交易所（以下简称“莫交所”）在莫斯科签署战略合作协议。这是上交所首次与国外交易所签署战略合作协议。上交所理事长吴清和莫交所首席执行官阿法纳西耶夫在协议签署前进行了会谈，并共同出席协议签字仪式。</w:t>
      </w:r>
    </w:p>
    <w:p>
      <w:r>
        <w:t xml:space="preserve">莫交所是世界交易所联合会的成员，也是俄罗斯最大的交易所集团，可向客户提供全方位的上市、交易和清算服务，并拥有股票、债券、衍生品、外汇、货币和大宗商品等多种交易产品类别，其债券和衍生品交易量位居全球交易所前三。此次两所签署战略合作协议，体现了双方在“一带一路”建设大背景下，丰富两所合作内涵，拓展两国资本市场合作的共同意愿。双方将本着精诚合作、互惠共赢的原则，在信息数据合作、举办交流合作平台、共同开发产品和为“一带一路”建设的相关项目提供融资服务等方面加强合作，充分发挥两国资本市场作用，服务“一带一路”建设。</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中国保监会发布关于债权投资计划投资重大工程有关事项的通知"/>
      <w:bookmarkEnd w:id="43"/>
      <w:r>
        <w:t xml:space="preserve">中国保监会发布《关于债权投资计划投资重大工程有关事项的通知》</w:t>
      </w:r>
    </w:p>
    <w:p>
      <w:r>
        <w:t xml:space="preserve">近日，中国保监会印发《关于债权投资计划投资重大工程有关事项的通知》（以下简称《通知》），在风险可控的前提下，支持保险资金投资对宏观经济和区域经济具有重要带动作用的重大工程。《通知》的发布，是保监会推进保险业支持实体经济发展的重要措施，有利于鼓励保险资金加大对关系国计民生重点领域的支持力度。</w:t>
      </w:r>
    </w:p>
    <w:p>
      <w:r>
        <w:t xml:space="preserve">《通知》明确了保险资金通过债权投资计划形式投资重大工程的支持政策。一是优化增信安排。债权投资计划投资经国务院或国务院投资主管部门核准的重大工程，且偿债主体具有AAA级长期信用级别的，可免于信用增级。这些项目主要集中在水利、能源、交通以及高新技术和先进制造业等重点领域，投资规模大，对区域经济和社会发展带动作用强。在项目论证、立项和审批等阶段，相关部门已进行严格评估和规范，投资风险可控。二是提高注册效率。对投资“一带一路”建设等国家发展战略的重大工程的债权投资计划，建立专门的业务受理及注册绿色通道，优先办理，满足重大工程融资时间紧、效率要求高的需求。</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保险业制定首个环保责任保险金融行业标准"/>
      <w:bookmarkEnd w:id="46"/>
      <w:r>
        <w:t xml:space="preserve">保险业制定首个环保责任保险金融行业标准</w:t>
      </w:r>
    </w:p>
    <w:p>
      <w:r>
        <w:t xml:space="preserve">为促进环境污染责任保险发展，发挥保险作用服务国家环境治理，中国保监会近日发布实施《化学原料及化学制品制造业责任保险风险评估指引》（以下简称《指引》）。《指引》于2017年初获全国金融标准化技术委员会批准，成为保险业首个环保责任保险金融行业标准。</w:t>
      </w:r>
    </w:p>
    <w:p>
      <w:r>
        <w:t xml:space="preserve">《指引》对化学原料及化学制造企业的环境污染风险从政策、经营、管理、工艺、运输、行业、敏感环境等方面进行量化分析。通过对企业基本情况、生产工艺、主体工程及环保工程、企业选址环境敏感性、安全管理措施、安全及污染事故情况等方面进行量化分析，计算复杂的化学原料及化学制造企业的相关风险，为保险公司承保前风险评估制定了参考标准。该标准对规范保险公司承保前风险评估行为，稳定投保企业的生产经营秩序，保护环境污染受害者的合法权益将起到重要作用。</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收"/>
      <w:bookmarkEnd w:id="49"/>
      <w:r>
        <w:t xml:space="preserve">税收</w:t>
      </w:r>
    </w:p>
    <w:p>
      <w:pPr>
        <w:pStyle w:val="Heading3"/>
      </w:pPr>
      <w:bookmarkStart w:id="50" w:name="国家税务总局发布关于增值税发票开具有关问题的公告"/>
      <w:bookmarkEnd w:id="50"/>
      <w:r>
        <w:t xml:space="preserve">国家税务总局发布《关于增值税发票开具有关问题的公告》</w:t>
      </w:r>
    </w:p>
    <w:p>
      <w:r>
        <w:t xml:space="preserve">为进一步加强增值税发票管理，保障全面推开营业税改征增值税试点工作顺利实施，保护纳税人合法权益，营造健康公平的税收环境，近日，国家税务总局发布2017年第16号公告：《关于增值税发票开具有关问题的公告》（以下简称《公告》）。</w:t>
      </w:r>
    </w:p>
    <w:p>
      <w:r>
        <w:t xml:space="preserve">《公告》指出，自2017年7月1日起，购买方为企业的，索取增值税普通发票时，应向销售方提供纳税人识别号或统一社会信用代码；销售方为其开具增值税普通发票时，应在“购买方纳税人识别号”栏填写购买方的纳税人识别号或统一社会信用代码。不符合规定的发票，不得作为税收凭证。《公告》指出，销售方开具增值税发票时，发票内容应按照实际销售情况如实开具，不得根据购买方要求填开与实际交易不符的内容。销售方开具发票时，通过销售平台系统与增值税发票税控系统后台对接，导入相关信息开票的，系统导入的开票数据内容应与实际交易相符，如不相符应及时修改完善销售平台系统。</w:t>
      </w:r>
    </w:p>
    <w:p>
      <w:hyperlink r:id="rId51">
        <w:r>
          <w:rPr>
            <w:rStyle w:val="Link"/>
          </w:rPr>
          <w:t xml:space="preserve">来源</w:t>
        </w:r>
      </w:hyperlink>
      <w:r>
        <w:t xml:space="preserve"> </w:t>
      </w:r>
      <w:r>
        <w:t xml:space="preserve">(</w:t>
      </w:r>
      <w:hyperlink r:id="rId52">
        <w:r>
          <w:rPr>
            <w:rStyle w:val="Link"/>
          </w:rPr>
          <w:t xml:space="preserve">副本</w:t>
        </w:r>
      </w:hyperlink>
      <w:r>
        <w:t xml:space="preserve">) (</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人社部修订劳动人事争议仲裁办案规则和劳动人事争议仲裁组织规则"/>
      <w:bookmarkEnd w:id="55"/>
      <w:r>
        <w:t xml:space="preserve">人社部修订《劳动人事争议仲裁办案规则》和《劳动人事争议仲裁组织规则》</w:t>
      </w:r>
    </w:p>
    <w:p>
      <w:r>
        <w:t xml:space="preserve">为进一步规范办案程序，不断加强仲裁机构队伍建设，人力资源社会保障部修订了《劳动人事争议仲裁办案规则》和《劳动人事争议仲裁组织规则》（以下分别简称《办案规则》、《组织规则》）。</w:t>
      </w:r>
    </w:p>
    <w:p>
      <w:r>
        <w:t xml:space="preserve">《办案规则》从提高劳动人事争议仲裁办案效能出发，依法细化了适用终局裁决的范围，将竞业限制期限内给予的经济补偿金、解除或者终止劳动合同的经济补偿、未签订书面劳动合同第二倍工资、违法约定试用期的赔偿金、违法解除或者终止劳动合同的赔偿金等争议案件纳入终局裁决适用范围，并明确了适用终局裁决的金额为单项计算的金额；规范了仲裁调解程序，明确了仲裁调解的原则、期限和方式，特别是加强仲裁程序与调解组织调解程序的衔接，明确了仲裁机构对调解组织主持达成的调解协议的审查确认程序及法律效力等。《办案规则》还进一步规范和完善了申请仲裁时效、管辖、回避、举证期限、申请和受理、开庭和裁决、送达等办案程序。《组织规则》着力加强仲裁员队伍建设，明确了仲裁员的权利与义务，增加了仲裁员考核、培训和作风建设等内容，并对仲裁监督进行了规范。</w:t>
      </w:r>
    </w:p>
    <w:p>
      <w:hyperlink r:id="rId56">
        <w:r>
          <w:rPr>
            <w:rStyle w:val="Link"/>
          </w:rPr>
          <w:t xml:space="preserve">来源</w:t>
        </w:r>
      </w:hyperlink>
      <w:r>
        <w:t xml:space="preserve"> </w:t>
      </w:r>
      <w:r>
        <w:t xml:space="preserve">(</w:t>
      </w:r>
      <w:hyperlink r:id="rId57">
        <w:r>
          <w:rPr>
            <w:rStyle w:val="Link"/>
          </w:rPr>
          <w:t xml:space="preserve">副本</w:t>
        </w:r>
      </w:hyperlink>
      <w:r>
        <w:t xml:space="preserve">) (</w:t>
      </w:r>
      <w:hyperlink r:id="rId58">
        <w:r>
          <w:rPr>
            <w:rStyle w:val="Link"/>
          </w:rPr>
          <w:t xml:space="preserve">副本</w:t>
        </w:r>
      </w:hyperlink>
      <w:r>
        <w:t xml:space="preserve">) (</w:t>
      </w:r>
      <w:hyperlink r:id="rId59">
        <w:r>
          <w:rPr>
            <w:rStyle w:val="Link"/>
          </w:rPr>
          <w:t xml:space="preserve">副本</w:t>
        </w:r>
      </w:hyperlink>
      <w:r>
        <w:t xml:space="preserve">)</w:t>
      </w:r>
    </w:p>
    <w:p>
      <w:pPr>
        <w:pStyle w:val="Heading3"/>
      </w:pPr>
      <w:bookmarkStart w:id="60" w:name="国土资源部规范矿业权价款评估管理加强事中事后监管"/>
      <w:bookmarkEnd w:id="60"/>
      <w:r>
        <w:t xml:space="preserve">国土资源部：规范矿业权价款评估管理，加强事中事后监管</w:t>
      </w:r>
    </w:p>
    <w:p>
      <w:r>
        <w:t xml:space="preserve">为进一步贯彻落实国务院“放管服”要求，近日，国土资源部印发了《关于做好矿业权价款评估备案核准取消后有关工作的通知》（以下简称《通知》），对取消“矿业权价款评估备案核准”后的矿业权价款评估管理工作进行规范，加强事中事后监管。</w:t>
      </w:r>
    </w:p>
    <w:p>
      <w:r>
        <w:t xml:space="preserve">《通知》从三方面规范了矿业权价款评估管理工作：一是调整完善矿业权价款评估管理工作程序，将矿业权价款评估备案改为矿业权价款评估报告公示公开。新流程为公开委托—评估机构评估—公示—无异议公开。部审批登记矿业权需要缴纳矿业权价款的，矿业权价款评估由各省（区、市）国土资源主管部门负责，并由部委托各省（区、市）国土资源部门征收。二是建立矿业权价款基准价制度。各省（区、市）国土资源部门要组织制定并公开发布本地区矿业权价款基准价，根据市场情况动态调整，原则上每两年更新一次。当矿产品销售价格上浮或下滑幅度超过20％（含）时要及时调整。三是评估结果自公开之日起生效，一年内有效。</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工商总局等十部门发布2017网络市场监管专项行动方案"/>
      <w:bookmarkEnd w:id="63"/>
      <w:r>
        <w:t xml:space="preserve">工商总局等十部门发布《2017网络市场监管专项行动方案》</w:t>
      </w:r>
    </w:p>
    <w:p>
      <w:r>
        <w:t xml:space="preserve">近日，工商总局等十部门印发《2017网络市场监管专项行动方案》（以下简称《方案》），决定于5月至11月联合开展2017网络市场监管专项行动，重点打击侵权假冒行为，虚假宣传、虚假违法广告行为，刷单炒信行为以及其他网络违法违规行为。</w:t>
      </w:r>
    </w:p>
    <w:p>
      <w:r>
        <w:t xml:space="preserve">《方案》明确，专项行动分三个阶段组织实施，5月为动员部署阶段，6月至11月中旬为集中联合检查阶段，10月至11月为督查总结阶段。行动参与部门包括工商总局、发展改革委、工业和信息化部、公安部、商务部、海关总署、质检总局、食品药品监管总局、网信办、邮政局。《方案》要求，集中整治非法主体网站，规范网络经营主体。加大对互联网领域各类不正当竞争行为、网络传销行为的查处力度。加强网络集中促销期监测监管，严厉查处虚假宣传、不正当价格行为等各类违法行为。《方案》要求，严格执行《反不正当竞争法》、《广告法》、《互联网广告管理暂行办法》等相关规定，严厉打击网络虚假宣传、虚假表示违法行为。</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并购"/>
      <w:bookmarkEnd w:id="66"/>
      <w:r>
        <w:t xml:space="preserve">并购</w:t>
      </w:r>
    </w:p>
    <w:p>
      <w:pPr>
        <w:pStyle w:val="Heading3"/>
      </w:pPr>
      <w:bookmarkStart w:id="67" w:name="天润数娱拟以17亿元收购两互联网公司构建泛娱乐生态圈"/>
      <w:bookmarkEnd w:id="67"/>
      <w:r>
        <w:t xml:space="preserve">天润数娱拟以17亿元收购两互联网公司，构建泛娱乐生态圈</w:t>
      </w:r>
    </w:p>
    <w:p>
      <w:r>
        <w:t xml:space="preserve">近日，湖南天润数字娱乐文化传媒股份有限公司（以下简称“天润数娱”）发布重大资产重组预案，公司拟以发行股份和现金支付相结合的方式，收购深圳市拇指游玩科技有限公司（以下简称“拇指游玩”）和北京虹软协创通讯技术有限公司（以下简称“虹软协创”）两家公司的100%股权，交易对价分别为10.9亿元和6.25亿元。</w:t>
      </w:r>
    </w:p>
    <w:p>
      <w:r>
        <w:t xml:space="preserve">天润数娱表示，本次交易完成后，公司的移动网络游戏业务将实现从单一的移动游戏研发及运营商，转变为集IP运营、移动游戏研发、移动游戏代理运营、移动游戏推广、移动游戏技术支持服务的泛娱乐产品供应及服务商，进一步增强公司的核心竞争力和持续经营能力。另外，拇指游玩和虹软协创两公司现有股东均做出业绩承诺，2017年至2019年期间，拇指游玩将实现净利润不低于8500万元、11050万元、13812.50万元；虹软协创将实现净利润不低于5000万元、6500万元和8450万元，否则将重新调整本次收购估值，并做出相应股权和现金补偿。</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长城影视拟2.16亿元收购9家旅行社"/>
      <w:bookmarkEnd w:id="70"/>
      <w:r>
        <w:t xml:space="preserve">长城影视拟2.16亿元收购9家旅行社</w:t>
      </w:r>
    </w:p>
    <w:p>
      <w:r>
        <w:t xml:space="preserve">近日，长城影视股份有限公司（以下简称“长城影视”）公告宣布，其拟以2.16 亿元收购文韬基金持有的上海海鑫国际旅行社有限公司等4 家公司的51%股权，以及武略基金持有的南京凤凰假期旅游有限公司、杭州金榜旅行社有限公司等5 家公司的51%股权。收购完成后，长城影视将成为9家公司的控股股东。9家标的公司承诺方预计2017 与2018年共分别实现3348万元、3776万元净利润。</w:t>
      </w:r>
    </w:p>
    <w:p>
      <w:r>
        <w:t xml:space="preserve">长城影视基于原有影视内容的投资、制作、运营、衍生产品等业务的经验，已经在电视剧领域形成综合化的全业务流程能力。以此为基础，公司正在积极推进“全内容、全产业链”战略。长城影视表示，通过收购这9家旅行社51%股权，每年可服务游客预计为140万人次，可为公司增加3000 多万元净利润，同时可为公司旗下诸暨影视城输送游客20万人次以上，从而进一步提升影视城的影响力、知名度和盈利能力，为影视城的运营奠定坚实基础。资料显示，这9家旅行公司大多服务于华东及华中地区，业务范围涵盖旅游地接、网络旅游产品营销、旅游服务批发、境内外旅行社等，在覆盖区域内有稳定的客源和较强的品牌影响力，且盈利能力良好，在2016 年净利润均达到七位数。</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江苏神通拟3.86亿元收购瑞帆节能"/>
      <w:bookmarkEnd w:id="73"/>
      <w:r>
        <w:t xml:space="preserve">江苏神通拟3.86亿元收购瑞帆节能</w:t>
      </w:r>
    </w:p>
    <w:p>
      <w:r>
        <w:t xml:space="preserve">江苏神通阀门股份有限公司（以下简称“江苏神通”）近日发出公告，公司已与股权转让方签署了《并购意向书》，拟以支付现金形式获得江苏瑞帆节能科技服务有限公司（以下简称“瑞帆节能”）100%的股权，交易价格为3.86亿元。</w:t>
      </w:r>
    </w:p>
    <w:p>
      <w:r>
        <w:t xml:space="preserve">江苏神通表示，本次投资并购在优化公司产业布局的同时，还将产生一定的协同效应，共享销售渠道、技术研发、维保服务等，对江苏神通及标的公司具有双向互补的促进作用，将为江苏神通在能源环保服务领域的业务拓展及标的公司的市场开拓上创造更多机会。据了解，标的公司是经国家发展改革委和财政部登记备案的节能服务公司，享受“三免三减半”的税收优惠政策。标的公司具备较为丰富的节能服务项目运营管理经验，正在运行的合同能源管理项目效果良好。</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第546期 - 2017年06月03日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20b03e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6/"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58" Target="10a.pdf" TargetMode="External" /><Relationship Type="http://schemas.openxmlformats.org/officeDocument/2006/relationships/hyperlink" Id="rId59" Target="10b.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3" Target="9a.pdf" TargetMode="External" /><Relationship Type="http://schemas.openxmlformats.org/officeDocument/2006/relationships/hyperlink" Id="rId68" Target="http://company.stcn.com/2017/0524/13379026.shtml" TargetMode="External" /><Relationship Type="http://schemas.openxmlformats.org/officeDocument/2006/relationships/hyperlink" Id="rId71" Target="http://stock.hexun.com/2017-05-30/189408106.html?from=rss" TargetMode="External" /><Relationship Type="http://schemas.openxmlformats.org/officeDocument/2006/relationships/hyperlink" Id="rId64" Target="http://www.chinacourt.org/article/detail/2017/05/id/2880885.shtml" TargetMode="External" /><Relationship Type="http://schemas.openxmlformats.org/officeDocument/2006/relationships/hyperlink" Id="rId37" Target="http://www.chinaforex.com.cn/index.php/cms/item-view-id-43740.shtml" TargetMode="External" /><Relationship Type="http://schemas.openxmlformats.org/officeDocument/2006/relationships/hyperlink" Id="rId51" Target="http://www.chinatax.gov.cn/n810341/n810755/c2644618/content.html" TargetMode="External" /><Relationship Type="http://schemas.openxmlformats.org/officeDocument/2006/relationships/hyperlink" Id="rId44" Target="http://www.circ.gov.cn/web/site0/tab5207/info4069908.htm" TargetMode="External" /><Relationship Type="http://schemas.openxmlformats.org/officeDocument/2006/relationships/hyperlink" Id="rId47" Target="http://www.circ.gov.cn/web/site0/tab5207/info4069930.htm" TargetMode="External" /><Relationship Type="http://schemas.openxmlformats.org/officeDocument/2006/relationships/hyperlink" Id="rId74" Target="http://www.cs.com.cn/ssgs/gsxw/201705/t20170519_5290278.html" TargetMode="External" /><Relationship Type="http://schemas.openxmlformats.org/officeDocument/2006/relationships/hyperlink" Id="rId28" Target="http://www.csrc.gov.cn/pub/newsite/zjhxwfb/xwdd/201705/t20170526_317386.html" TargetMode="External" /><Relationship Type="http://schemas.openxmlformats.org/officeDocument/2006/relationships/hyperlink" Id="rId25" Target="http://www.csrc.gov.cn/pub/newsite/zjhxwfb/xwdd/201705/t20170527_317540.html" TargetMode="External" /><Relationship Type="http://schemas.openxmlformats.org/officeDocument/2006/relationships/hyperlink" Id="rId56" Target="http://www.gov.cn/xinwen/2017-05/25/content_5196754.htm" TargetMode="External" /><Relationship Type="http://schemas.openxmlformats.org/officeDocument/2006/relationships/hyperlink" Id="rId61" Target="http://www.gov.cn/xinwen/2017-05/28/content_5197480.htm" TargetMode="External" /><Relationship Type="http://schemas.openxmlformats.org/officeDocument/2006/relationships/hyperlink" Id="rId40" Target="http://www.sse.com.cn/aboutus/mediacenter/hotandd/c/c_20170524_4316216.shtml" TargetMode="External" /><Relationship Type="http://schemas.openxmlformats.org/officeDocument/2006/relationships/hyperlink" Id="rId31" Target="http://www.szse.cn/main/aboutus/bsyw/39771975.shtml" TargetMode="External" /><Relationship Type="http://schemas.openxmlformats.org/officeDocument/2006/relationships/hyperlink" Id="rId34" Target="http://www.szse.cn/main/aboutus/bsyw/39771976.s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6/"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58" Target="10a.pdf" TargetMode="External" /><Relationship Type="http://schemas.openxmlformats.org/officeDocument/2006/relationships/hyperlink" Id="rId59" Target="10b.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3" Target="9a.pdf" TargetMode="External" /><Relationship Type="http://schemas.openxmlformats.org/officeDocument/2006/relationships/hyperlink" Id="rId68" Target="http://company.stcn.com/2017/0524/13379026.shtml" TargetMode="External" /><Relationship Type="http://schemas.openxmlformats.org/officeDocument/2006/relationships/hyperlink" Id="rId71" Target="http://stock.hexun.com/2017-05-30/189408106.html?from=rss" TargetMode="External" /><Relationship Type="http://schemas.openxmlformats.org/officeDocument/2006/relationships/hyperlink" Id="rId64" Target="http://www.chinacourt.org/article/detail/2017/05/id/2880885.shtml" TargetMode="External" /><Relationship Type="http://schemas.openxmlformats.org/officeDocument/2006/relationships/hyperlink" Id="rId37" Target="http://www.chinaforex.com.cn/index.php/cms/item-view-id-43740.shtml" TargetMode="External" /><Relationship Type="http://schemas.openxmlformats.org/officeDocument/2006/relationships/hyperlink" Id="rId51" Target="http://www.chinatax.gov.cn/n810341/n810755/c2644618/content.html" TargetMode="External" /><Relationship Type="http://schemas.openxmlformats.org/officeDocument/2006/relationships/hyperlink" Id="rId44" Target="http://www.circ.gov.cn/web/site0/tab5207/info4069908.htm" TargetMode="External" /><Relationship Type="http://schemas.openxmlformats.org/officeDocument/2006/relationships/hyperlink" Id="rId47" Target="http://www.circ.gov.cn/web/site0/tab5207/info4069930.htm" TargetMode="External" /><Relationship Type="http://schemas.openxmlformats.org/officeDocument/2006/relationships/hyperlink" Id="rId74" Target="http://www.cs.com.cn/ssgs/gsxw/201705/t20170519_5290278.html" TargetMode="External" /><Relationship Type="http://schemas.openxmlformats.org/officeDocument/2006/relationships/hyperlink" Id="rId28" Target="http://www.csrc.gov.cn/pub/newsite/zjhxwfb/xwdd/201705/t20170526_317386.html" TargetMode="External" /><Relationship Type="http://schemas.openxmlformats.org/officeDocument/2006/relationships/hyperlink" Id="rId25" Target="http://www.csrc.gov.cn/pub/newsite/zjhxwfb/xwdd/201705/t20170527_317540.html" TargetMode="External" /><Relationship Type="http://schemas.openxmlformats.org/officeDocument/2006/relationships/hyperlink" Id="rId56" Target="http://www.gov.cn/xinwen/2017-05/25/content_5196754.htm" TargetMode="External" /><Relationship Type="http://schemas.openxmlformats.org/officeDocument/2006/relationships/hyperlink" Id="rId61" Target="http://www.gov.cn/xinwen/2017-05/28/content_5197480.htm" TargetMode="External" /><Relationship Type="http://schemas.openxmlformats.org/officeDocument/2006/relationships/hyperlink" Id="rId40" Target="http://www.sse.com.cn/aboutus/mediacenter/hotandd/c/c_20170524_4316216.shtml" TargetMode="External" /><Relationship Type="http://schemas.openxmlformats.org/officeDocument/2006/relationships/hyperlink" Id="rId31" Target="http://www.szse.cn/main/aboutus/bsyw/39771975.shtml" TargetMode="External" /><Relationship Type="http://schemas.openxmlformats.org/officeDocument/2006/relationships/hyperlink" Id="rId34" Target="http://www.szse.cn/main/aboutus/bsyw/39771976.s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第546期 - 2017年06月03日</dc:title>
  <dc:creator/>
</cp:coreProperties>
</file>