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第547期</w:t>
      </w:r>
      <w:r>
        <w:t xml:space="preserve"> </w:t>
      </w:r>
      <w:r>
        <w:t xml:space="preserve">-</w:t>
      </w:r>
      <w:r>
        <w:t xml:space="preserve"> </w:t>
      </w:r>
      <w:r>
        <w:t xml:space="preserve">2017年06月09日</w:t>
      </w:r>
    </w:p>
    <w:p>
      <w:hyperlink r:id="rId21">
        <w:r>
          <w:rPr>
            <w:rStyle w:val="Link"/>
          </w:rPr>
          <w:t xml:space="preserve">网络版</w:t>
        </w:r>
      </w:hyperlink>
    </w:p>
    <w:p>
      <w:pPr>
        <w:pStyle w:val="Heading1"/>
      </w:pPr>
      <w:bookmarkStart w:id="22" w:name="全国银行间同业拆借中心推出银银间回购定盘利率完善利率传导框架"/>
      <w:bookmarkEnd w:id="22"/>
      <w:r>
        <w:t xml:space="preserve">全国银行间同业拆借中心推出银银间回购定盘利率，完善利率传导框架</w:t>
      </w:r>
    </w:p>
    <w:p>
      <w:pPr>
        <w:pStyle w:val="Heading2"/>
      </w:pPr>
      <w:bookmarkStart w:id="23" w:name="资本市场"/>
      <w:bookmarkEnd w:id="23"/>
      <w:r>
        <w:t xml:space="preserve">资本市场</w:t>
      </w:r>
    </w:p>
    <w:p>
      <w:pPr>
        <w:pStyle w:val="Heading3"/>
      </w:pPr>
      <w:bookmarkStart w:id="24" w:name="全国银行间同业拆借中心推出银银间回购定盘利率完善利率传导框架-1"/>
      <w:bookmarkEnd w:id="24"/>
      <w:r>
        <w:t xml:space="preserve">全国银行间同业拆借中心推出银银间回购定盘利率，完善利率传导框架</w:t>
      </w:r>
    </w:p>
    <w:p>
      <w:r>
        <w:t xml:space="preserve">近日，全国银行间同业拆借中心推出了银银间回购定盘利率（包括FDR001、FDR007及FDR014三个品种），同时还推出了以FDR007为参考利率的利率互换交易相关服务。此举意味着自去年三季度7天回购利率（DR007）被央行重点提及后，7天回购利率的目标利率地位进一步强化，是完善利率传导框架的重要一步。</w:t>
      </w:r>
    </w:p>
    <w:p>
      <w:r>
        <w:t xml:space="preserve">FDR007也称为“银银间回购定盘利率”，是以银行间市场存款类机构以利率债为质押的回购交易利率（DR007）为基础编制而成的利率基准参考指标，代表了利率互换协议中的固定端利率。完善银银间回购定盘利率的构建，对培育回购交易利率的市场基准利率有重要意义，相较于FR007能更好地反映无风险利率的未来走势。不过，由于FDR007刚推出，市场反应不一，还存在流动性不足等问题，后续影响仍待观察。另外，自推出逆回购业务以来，央行在逐步建设利率走廊，7天逆回购操作利率一直维持在2.25%，成为利率走廊的隐含底部。只是，从去年三季度开始，货币政策逐步转向，但央行并没有直接提高存贷款利率，而是通过公开市场操作及利率传导机制，达到引导市场利率的目的。</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圳证券交易所证券投资基金上市规则2017年征求意见稿向社会公开征求意见"/>
      <w:bookmarkEnd w:id="27"/>
      <w:r>
        <w:t xml:space="preserve">《深圳证券交易所证券投资基金上市规则（2017年征求意见稿）》向社会公开征求意见</w:t>
      </w:r>
    </w:p>
    <w:p>
      <w:r>
        <w:t xml:space="preserve">为加强证券投资基金上市、终止上市和信息披露监管，强化分级基金风险防范，保护投资者合法权益，深圳证券交易所（以下简称“深交所”）于近期发布了《深圳证券交易所证券投资基金上市规则（2017年征求意见稿）》（以下简称《规则》），并公开向社会征求意见。</w:t>
      </w:r>
    </w:p>
    <w:p>
      <w:r>
        <w:t xml:space="preserve">与现行《深圳证券交易所证券投资基金上市规则》相比，《规则》主要修改内容包括以下几个方面：一是完善基金上市和终止上市审核程序。引入上市委员会审议机制，由本所上市委员会对基金上市申请和终止上市事宜作出独立的专业判断并形成审核意见。二是完善小规模基金终止上市相关安排。设置基金终止上市观察期，基金不再具备上市条件且相关情形在观察期内未消除的，基金进入终止上市程序。三是加强对特殊基金的投资者保护和适当性管理。规定结构复杂、风险较高基金上市时应当有符合本所规定的投资者适当性安排。四是加强监管，优化业务办理。进一步明确对违规基金信息披露义务人及其信息披露负责人可采取的监管措施。</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家开发银行将设2500亿一带一路专项贷款分3年落实"/>
      <w:bookmarkEnd w:id="30"/>
      <w:r>
        <w:t xml:space="preserve">国家开发银行将设2500亿“一带一路”专项贷款，分3年落实</w:t>
      </w:r>
    </w:p>
    <w:p>
      <w:r>
        <w:t xml:space="preserve">近日，银行业例会举行国家开发银行（以下简称“国开行”）专场发布会。国开行国际金融局局长梁惠江在会上透露，国开行将设立2500亿元等值人民币专项贷款，支持“一带一路”建设，并将按照开发性金融理念和方法选择项目，坚持项目的自偿性和可持续发展原则，成熟一个运作一个，拟通过3年左右时间落实专项贷款。</w:t>
      </w:r>
    </w:p>
    <w:p>
      <w:r>
        <w:t xml:space="preserve">梁惠江称，国开行资产规模突破10万亿，以及持续发行金融债，可以说2500亿元专项贷款的资金来源并不成问题，关键还是要选择好的项目。目前，国开行“一带一路”储备项目近500个，涉及规模3500亿美元左右，主要涵盖基础设施、产能合作、民生等领域。下一步，国开行将坚持聚焦重点地区、重点国家、重点项目，加快在能源资源、基础设施、高铁、核电、国际产能合作、境外园区等领域开发一批重大项目。上述专项贷款包括3个子专项，即1000亿元等值人民币“一带一路”基础设施专项贷款，1000亿元等值人民币“一带一路”产能合作专项贷款和500亿元人民币的“一带一路”金融合作专项贷款。</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人民银行债券通管理暂行办法公开征求意见"/>
      <w:bookmarkEnd w:id="33"/>
      <w:r>
        <w:t xml:space="preserve">中国人民银行：“债券通”管理暂行办法公开征求意见</w:t>
      </w:r>
    </w:p>
    <w:p>
      <w:r>
        <w:t xml:space="preserve">为规范开展内地与香港债券市场互联互通合作相关业务，中国人民银行起草了《内地与香港债券市场互联互通合作管理暂行办法》（以下简称《办法》），现向社会公开征求意见。《办法》指出，“债券通”包括“北向通”及“南向通”。《办法》适用于“北向通”。“北向通”是指香港及其他国家与地区的境外投资者经由香港与内地基础设施机构之间在交易、托管、结算等方面互联互通的机制安排，投资于内地银行间债券市场。“南向通”有关办法另行制定。</w:t>
      </w:r>
    </w:p>
    <w:p>
      <w:r>
        <w:t xml:space="preserve">《办法》提出，境外投资者可使用自有人民币或外汇投资。使用外汇投资的，可通过债券持有人在香港人民币业务清算行及香港地区经批准可进入境内银行间外汇市场进行交易的境外人民币业务参加行（以下统称香港结算行）办理外汇资金兑换。香港结算行由此所产生的头寸可到境内银行间外汇市场平盘。使用外汇投资的，在其投资的债券到期或卖出后，原则上应兑换回外汇。《办法》指出，中国人民银行依法对“北向通”进行监督管理，并与香港金融管理局及其他有关国家或地区的相关监督管理机构建立监管合作安排，共同维护投资者跨境投资的合法权益，加强反洗钱监管。</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国家外汇管理局发布关于金融机构报送银行卡境外交易信息的通知"/>
      <w:bookmarkEnd w:id="36"/>
      <w:r>
        <w:t xml:space="preserve">国家外汇管理局发布《关于金融机构报送银行卡境外交易信息的通知》</w:t>
      </w:r>
    </w:p>
    <w:p>
      <w:r>
        <w:t xml:space="preserve">近日，国家外汇管理局（以下简称“外管局”）发布《关于金融机构报送银行卡境外交易信息的通知》（以下简称《通知》），宣布将采集境内银行卡在境外发生的提现和消费交易信息。此举将于2017年9月1日起正式实施。</w:t>
      </w:r>
    </w:p>
    <w:p>
      <w:r>
        <w:t xml:space="preserve">外管局指出，采集的信息包括，一是境内银行卡在境外金融机构柜台和自动取款机等场所和设备发生的提现交易；二是境内银行卡在境外实体和网络特约商户发生的单笔等值1000元人民币以上的消费交易。这意味着，从2017年9月1日起，如果消费者用境内借记卡或者信用卡等，在境外取出任何一笔现金，或者进行任何一笔超过千元以上的消费，此交易信息均会由银行报送给外管局。外管局相关人士表示，通过数据采集，将银行卡境外消费、境外取现跟消费者的个人信息匹配，其主要目的是加强对银行卡境外违法违规交易的管理，外管局将继续支持和保障个人持银行卡在境外经常项下合规用卡。据其介绍，2016年全年境内个人持银行卡境外交易总额超过1200亿美元。为了完善银行卡跨境交易统计的透明度，提高银行卡跨境交易的数据质量，外管局发此通知。</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国证监会就证券公司分类监管规定公开征求意见"/>
      <w:bookmarkEnd w:id="39"/>
      <w:r>
        <w:t xml:space="preserve">中国证监会就《证券公司分类监管规定》公开征求意见</w:t>
      </w:r>
    </w:p>
    <w:p>
      <w:r>
        <w:t xml:space="preserve">日前，中国证监会就《证券公司分类监管规定》（征求意见稿）（以下简称《规定》）向社会公开征求意见。现行《规定》为中国证监会2009年5月发布，后于2010年5月进行了修订。近年来，证券公司分类监管制度对促进证券公司加强合规管理、提升风险控制能力、培育核心竞争力，发挥了正向激励作用，得到行业和市场认可。</w:t>
      </w:r>
    </w:p>
    <w:p>
      <w:r>
        <w:t xml:space="preserve">此次，主要拟从以下五个方面对《规定》进行修订，一是维持分类监管制度总体框架不变，集中解决实践中遇到的突出问题。二是完善合规状况评价指标体系，落实依法从严全面监管要求。三是强化风险管理能力评价指标体系，促进行业提升全面风险管理能力。四是突出监管导向，引导行业聚焦主业。优化原有的市场竞争力指标，剔除部分偏离主业、过度投机的业务因素影响。五是为持续完善评价体系留出空间，增强制度的适应性和有效性。增加授权条款，委托中国证券业协会在条件具备时对全面风险管理能力、合规管理能力、社会责任履行情况等进行专项定量评价。</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中国保监会关于规范人身保险公司产品开发设计行为的通知"/>
      <w:bookmarkEnd w:id="43"/>
      <w:r>
        <w:t xml:space="preserve">中国保监会关于规范人身保险公司产品开发设计行为的通知</w:t>
      </w:r>
    </w:p>
    <w:p>
      <w:r>
        <w:t xml:space="preserve">为落实《中国保监会关于弥补监管短板 构建严密有效保险监管体系的通知》要求，做好新形势下人身保险产品监管工作，规范保险公司产品开发设计行为，切实发挥人身保险产品的保险保障功能，回归保险本源，防范经营风险，中国保监会发布《关于规范人身保险公司产品开发设计行为的通知》（以下简称《通知》）。</w:t>
      </w:r>
    </w:p>
    <w:p>
      <w:r>
        <w:t xml:space="preserve">《通知》中指出，保险公司开发设计的保险产品应当符合以下要求：两全保险产品、年金保险产品，首次生存保险金给付应在保单生效满5年之后，且每年给付或部分领取比例不得超过已交保险费的20%；万能型保险产品、投资连结型保险产品设计应提供不定期、不定额追加保险费，灵活调整保险金额等功能。保险公司不得以附加险形式设计万能型保险产品或投资连结型保险产品；护理保险产品在保险期间届满前给付的生存保险金，应当以被保险人因保险合同约定的日常生活能力障碍引发护理需要为给付条件；失能收入损失保险产品在保险期间届满前给付的生存保险金，应当以被保险人因合同约定的疾病或者意外伤害导致工作能力丧失为给付条件。</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中国保监会办公厅关于加强中国保险业保单登记管理信息平台数据报送和质量管理工作的通知"/>
      <w:bookmarkEnd w:id="46"/>
      <w:r>
        <w:t xml:space="preserve">中国保监会办公厅关于加强中国保险业保单登记管理信息平台数据报送和质量管理工作的通知</w:t>
      </w:r>
    </w:p>
    <w:p>
      <w:r>
        <w:t xml:space="preserve">为进一步规范中国保险业保单登记管理信息平台（以下简称“保单登记平台”）数据报送工作，提高平台数据质量，中国保监会办公厅发布《关于加强中国保险业保单登记管理信息平台数据报送和质量管理工作的通知》（以下简称《通知》）。</w:t>
      </w:r>
    </w:p>
    <w:p>
      <w:r>
        <w:t xml:space="preserve">《通知》中要求，各保险公司只要开展相关业务，就应提前与保单登记平台对接，并建立数据报送系统的业务连续性和容灾备份机制。同时要加强数据源头管理，完善本公司相关系统，按照保单登记平台数据模型、业务代码等接口规范要求，根据实际业务情况，进行数据模型对照和业务代码映射，确保报送的数据真实、完整、准确、规范。《通知》中规定，各保险公司如因特殊原因确需暂停数据报送，应提前向保监会保单登记领导小组办公室提交书面申请，详细说明暂停数据报送的原因以及拟恢复报送数据的时间。暂停数据报送的保险公司，在恢复报送数据后的3个工作日内，应完成暂停数据报送期间的数据补报工作。</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收"/>
      <w:bookmarkEnd w:id="49"/>
      <w:r>
        <w:t xml:space="preserve">税收</w:t>
      </w:r>
    </w:p>
    <w:p>
      <w:pPr>
        <w:pStyle w:val="Heading3"/>
      </w:pPr>
      <w:bookmarkStart w:id="50" w:name="国家税务总局中国银行业监督管理委员会联合发出通知-进一步推动银税互动扩面升级"/>
      <w:bookmarkEnd w:id="50"/>
      <w:r>
        <w:t xml:space="preserve">国家税务总局、中国银行业监督管理委员会联合发出通知： 进一步推动“银税互动”扩面升级</w:t>
      </w:r>
    </w:p>
    <w:p>
      <w:r>
        <w:t xml:space="preserve">近日，国家税务总局、中国银行业监督管理委员会联合印发《国家税务总局、中国银行业监督管理委员会关于进一步推动“银税互动”工作的通知》（以下简称《通知》），进一步加大“银税互动”助力企业发展力度，充分发挥政务信息共享效应，支持供给侧结构性改革，促进大众创业、万众创新。</w:t>
      </w:r>
    </w:p>
    <w:p>
      <w:r>
        <w:t xml:space="preserve">《通知》主要从完善银税合作机制、加大银税信息交流力度、推动银税合作积极创新、加强配套机制建设4方面提出了10项具体措施。一是在初步搭建的“总局（会）—省局—市局（分局）”三级联动的银税合作格局基础上，要求各地进一步下沉工作重心，2017年实现银税合作工作机制在所有县域铺开；二是将纳税信用信息推送内容扩大至纳税信用A-D级企业名单。在依法合规的前提下，税务部门和银行业金融机构将进一步丰富银税信息互换内容；三是将“银税互动”受惠群体由纳税信用A级企业拓展至B级企业，并鼓励银行业金融机构结合自身经营发展特点；四是要求银税互动信息传递和接收单位要签订信息保密协议，共同做好信息传递过程中的安全防护工作。</w:t>
      </w:r>
    </w:p>
    <w:p>
      <w:hyperlink r:id="rId51">
        <w:r>
          <w:rPr>
            <w:rStyle w:val="Link"/>
          </w:rPr>
          <w:t xml:space="preserve">来源</w:t>
        </w:r>
      </w:hyperlink>
      <w:r>
        <w:t xml:space="preserve"> </w:t>
      </w:r>
      <w:r>
        <w:t xml:space="preserve">(</w:t>
      </w:r>
      <w:hyperlink r:id="rId52">
        <w:r>
          <w:rPr>
            <w:rStyle w:val="Link"/>
          </w:rPr>
          <w:t xml:space="preserve">副本</w:t>
        </w:r>
      </w:hyperlink>
      <w:r>
        <w:t xml:space="preserve">) (</w:t>
      </w:r>
      <w:hyperlink r:id="rId53">
        <w:r>
          <w:rPr>
            <w:rStyle w:val="Link"/>
          </w:rPr>
          <w:t xml:space="preserve">副本</w:t>
        </w:r>
      </w:hyperlink>
      <w:r>
        <w:t xml:space="preserve">)</w:t>
      </w:r>
    </w:p>
    <w:p>
      <w:pPr>
        <w:pStyle w:val="Heading3"/>
      </w:pPr>
      <w:bookmarkStart w:id="54" w:name="税务总局再出十措施确保新一轮减税政策落地"/>
      <w:bookmarkEnd w:id="54"/>
      <w:r>
        <w:t xml:space="preserve">税务总局再出十措施，确保新一轮减税政策落地</w:t>
      </w:r>
    </w:p>
    <w:p>
      <w:r>
        <w:t xml:space="preserve">国家税务总局近日发布《关于落实进一步减税措施优化纳税服务工作的通知》，从服务纳税人的角度出发，严格落实首问责任、导税服务等制度，避免纳税人“来回跑”。充分发挥国地税联办、同城通办的优势，降低纳税人办税成本。</w:t>
      </w:r>
    </w:p>
    <w:p>
      <w:r>
        <w:t xml:space="preserve">为切实做好对纳税人的风险提示工作，税务机关将对填报的申报数据进行电子化逻辑校验，对纳税人存在的填报不准确、开具不规范、享受不到位等问题进行及时提醒，减少纳税人的涉税风险。通过专项督导、执法督察、绩效考评等方式跟踪问效和监督问责，确保减税优惠政策落实到位。为确保此轮减税政策真正落地，税务部门打出便利化办税“组合拳”， 围绕事前开展全方位培训、事中提升办税便利水平、事后实施分析督导三个维度明确了10条服务措施，确保减税措施顺利落地，持续推动实体经济降成本、增后劲，让纳税人享受减税红利更便捷、更省心。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行业"/>
      <w:bookmarkEnd w:id="57"/>
      <w:r>
        <w:t xml:space="preserve">行业</w:t>
      </w:r>
    </w:p>
    <w:p>
      <w:pPr>
        <w:pStyle w:val="Heading3"/>
      </w:pPr>
      <w:bookmarkStart w:id="58" w:name="中国发行地方政府土地储备专项债以遏制违规融资"/>
      <w:bookmarkEnd w:id="58"/>
      <w:r>
        <w:t xml:space="preserve">中国发行地方政府土地储备专项债，以遏制违规融资</w:t>
      </w:r>
    </w:p>
    <w:p>
      <w:r>
        <w:t xml:space="preserve">财政部、国土资源部近日联合对外发布《地方政府土地储备专项债券管理办法（试行）》（以下简称《办法》），明确将允许各省级政府发行土地储备专项债券，以合法规范方式保障土地储备项目的合理融资需求。这是我国首次以地方政府性基金收入项目分类发行专项债券，标志着地方政府专项债券管理迈出重要一步。</w:t>
      </w:r>
    </w:p>
    <w:p>
      <w:r>
        <w:t xml:space="preserve">两部门有关负责人介绍，此次发布的《办法》从额度管理、预算编制、预算执行和决算、监督管理、职责分工等方面，对开“正门”允许地方政府发行土地储备专项债券提出具体要求，有助于从机制上堵住融资平台公司等企业冒用土地储备名义进行抵押担保融资的“后门”“歪门”，防范违法违规举债或变相举债、挪用土地储备资金等行为发生。地方政府储备土地靠银行贷款将成为历史，继去年中央层面发文以地方债取代土地储备银行贷款后，2017年我国将试点推出地方政府土地储备专项债券，进一步规范土地储备融资行为。</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财政部严禁以政府购买服务名义违法违规举债"/>
      <w:bookmarkEnd w:id="61"/>
      <w:r>
        <w:t xml:space="preserve">财政部严禁以政府购买服务名义违法违规举债</w:t>
      </w:r>
    </w:p>
    <w:p>
      <w:r>
        <w:t xml:space="preserve">继日前财政部等部门发文禁止地方借PPP、政府投资基金等名义违规举债融资，财政部近日再度发出《财政部关于坚决制止地方以政府购买服务名义违法违规融资的通知》（以下简称《通知》），明确了政府购买服务的改革方向、实施范围、预算管理、信息公开等事项，并严禁以政府购买服务名义违法违规举债。</w:t>
      </w:r>
    </w:p>
    <w:p>
      <w:r>
        <w:t xml:space="preserve">《通知》明确，政府购买服务内容应当重点是有预算安排的基本公共服务项目，严禁各地将建设工程作为政府购买服务项目，严禁将金融机构、融资租赁公司等非金融机构提供的融资行为纳入政府购买服务范围。另外，《通知》严禁利用或虚构政府购买服务合同违法违规融资。地方政府及其部门不得利用或虚构政府购买服务合同为建设工程变相举债，不得通过政府购买服务向金融机构等融资，不得以任何方式虚构或超越权限签订应付（收）账款合同帮助融资平台公司等企业融资。</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卧龙地产拟以6.42亿元现金购买君海网络38股权"/>
      <w:bookmarkEnd w:id="65"/>
      <w:r>
        <w:t xml:space="preserve">卧龙地产拟以6.42亿元现金购买君海网络38%股权</w:t>
      </w:r>
    </w:p>
    <w:p>
      <w:r>
        <w:t xml:space="preserve">此前两度谋求发行股份收购游戏资产未果的的卧龙地产集团股份有限公司（以下简称“卧龙地产”）转变方式，拟采用现金收购广州君海网络科技有限公司（以下简称“君海网络”）控股权，此举将使得公司主营业务新增手机游戏的发行与运营，在转型升级的道路上迈出坚实一步。卧龙地产于2017年6月4日晚间公告，公司以6.42亿元现金购买君海网络38%股权。</w:t>
      </w:r>
    </w:p>
    <w:p>
      <w:r>
        <w:t xml:space="preserve">今年的1月3日，卧龙地产就曾公告，斥资1.085亿元现金购买陈金海、葛坤洪、动景科技持有的君海网络13%股权。前后两次相加，卧龙地产共计耗资约7.5亿元拿下君海网络51%股权，实现控股。君海网络成立于2014年，是一家专注于手机游戏发行和运营服务的游戏公司，已相继发行了《剑仙缘》、《幻想神迹》、《通天西游》等手机网游。卧龙地产表示，通过此次交易，公司主营业务将新增手机游戏的发行与运营，公司在转型升级的道路上迈出了更为坚实的一步，进一步增强了公司抵御风险的能力。</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快乐购拟买下上海天娱传媒湖南芒果娱乐等5公司"/>
      <w:bookmarkEnd w:id="68"/>
      <w:r>
        <w:t xml:space="preserve">快乐购拟买下上海天娱传媒、湖南芒果娱乐等5公司</w:t>
      </w:r>
    </w:p>
    <w:p>
      <w:r>
        <w:t xml:space="preserve">2017年6月4日晚间，快乐购物股份有限公司（以下简称“快乐购”）发布《关于重大资产重组进展暨延期复牌的公告》，并表示本次交易拟购买标的资产包括与公司受同一实际控制人湖南广播电视台控制的5家公司的全部或控股股权，这5家标的公司分别为湖南快乐阳光互动娱乐传媒有限公司、上海天娱传媒有限公司、湖南芒果娱乐有限公司、芒果影视文化有限公司和上海芒果互娱科技有限公司。</w:t>
      </w:r>
    </w:p>
    <w:p>
      <w:r>
        <w:t xml:space="preserve">对于此次资产重组，快乐购表示，截至本公告披露日，公司已与湖南广播电视台签订了《资产收购意向协议》，就湖南广播电视台下属关联公司的资产收购达成了收购意向。而截至本公告披露日，公司尚未与交易方签订重组框架协议，相关方案仍未全部确定，方案的商讨和完善所需时间较长，交易细节尚需进一步沟通和谈判。值得注意的是，快乐购此前也曾试图收购芒果TV等业务的相关资产，并于去年6月进入停牌期，拟购买的标的资产除了此次拟收购的5家公司外，还涵盖了湖南金鹰卡通有限公司和湖南天娱广告有限公司的全部或控股股权，但随后在去年11月发布终止重大资产重组事项暨复牌公告。</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实达集团拟并购旭航网络进一步延伸移动互联网产业链"/>
      <w:bookmarkEnd w:id="71"/>
      <w:r>
        <w:t xml:space="preserve">实达集团拟并购旭航网络，进一步延伸移动互联网产业链</w:t>
      </w:r>
    </w:p>
    <w:p>
      <w:r>
        <w:t xml:space="preserve">福建实达集团股份有限公司（以下简称“实达集团”）近日发出公告，公司拟以发行股份及支付现金方式购买杭州旭航网络科技有限公司（以下简称“旭航网络”）100%股权。据公告，旭航网络是一家具有双软认证的移动互联网营销服务商，一直致力于提供移动互联网精准推广服务。</w:t>
      </w:r>
    </w:p>
    <w:p>
      <w:r>
        <w:t xml:space="preserve">回溯公告，实达集团在2016年已通过收购深圳兴飞成功转型成为移动智能终端产品解决方案提供商，并通过收购东方拓宇实现了向移动智能终端产业链上游研发领域的纵向拓展。此前披露的2016年年报中，实达集团已详细阐述了公司的转型规划：将通过内生+外延的方式进一步整合产业链，使公司成为一家在业内具有一定竞争力且业务链条较为完整的“移动互联+物联”控股集团。由此可见，本次拟收购旭航网络是公司对移动互联网布局的进一步加码。据公告，实达集团正与相关各方就发行股份购买资产并募集配套资金事项进行积极沟通和磋商，公司股票将自2017年6月5日起继续停牌，预计停牌时间不超过一个月。</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第547期 - 2017年06月09日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008b2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7/"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3" Target="9a.pdf" TargetMode="External" /><Relationship Type="http://schemas.openxmlformats.org/officeDocument/2006/relationships/hyperlink" Id="rId66" Target="http://company.stcn.com/2017/0604/13395435.shtml" TargetMode="External" /><Relationship Type="http://schemas.openxmlformats.org/officeDocument/2006/relationships/hyperlink" Id="rId69" Target="http://company.stcn.com/2017/0605/13395960.shtml" TargetMode="External" /><Relationship Type="http://schemas.openxmlformats.org/officeDocument/2006/relationships/hyperlink" Id="rId59" Target="http://www.chinacourt.org/article/detail/2017/06/id/2886119.shtml" TargetMode="External" /><Relationship Type="http://schemas.openxmlformats.org/officeDocument/2006/relationships/hyperlink" Id="rId34" Target="http://www.chinaforex.com.cn/index.php/cms/item-view-id-43761.shtml" TargetMode="External" /><Relationship Type="http://schemas.openxmlformats.org/officeDocument/2006/relationships/hyperlink" Id="rId31" Target="http://www.chinaforex.com.cn/index.php/cms/item-view-id-43781.shtml" TargetMode="External" /><Relationship Type="http://schemas.openxmlformats.org/officeDocument/2006/relationships/hyperlink" Id="rId37" Target="http://www.chinaforex.com.cn/index.php/cms/item-view-id-43803.shtml" TargetMode="External" /><Relationship Type="http://schemas.openxmlformats.org/officeDocument/2006/relationships/hyperlink" Id="rId25" Target="http://www.chinaforex.com.cn/index.php/cms/item-view-id-43853.shtml" TargetMode="External" /><Relationship Type="http://schemas.openxmlformats.org/officeDocument/2006/relationships/hyperlink" Id="rId51" Target="http://www.chinatax.gov.cn/n810219/n810724/c2651139/content.html" TargetMode="External" /><Relationship Type="http://schemas.openxmlformats.org/officeDocument/2006/relationships/hyperlink" Id="rId44" Target="http://www.circ.gov.cn/web/site0/tab5168/info4070148.htm" TargetMode="External" /><Relationship Type="http://schemas.openxmlformats.org/officeDocument/2006/relationships/hyperlink" Id="rId47" Target="http://www.circ.gov.cn/web/site0/tab5168/info4070155.htm" TargetMode="External" /><Relationship Type="http://schemas.openxmlformats.org/officeDocument/2006/relationships/hyperlink" Id="rId40" Target="http://www.csrc.gov.cn/pub/newsite/zjhxwfb/xwdd/201706/t20170602_317815.html" TargetMode="External" /><Relationship Type="http://schemas.openxmlformats.org/officeDocument/2006/relationships/hyperlink" Id="rId55" Target="http://www.legaldaily.com.cn/index_article/content/2017-06/01/content_7187415.htm?node=5955" TargetMode="External" /><Relationship Type="http://schemas.openxmlformats.org/officeDocument/2006/relationships/hyperlink" Id="rId62" Target="http://www.legaldaily.com.cn/index_article/content/2017-06/04/content_7190843.htm?node=5955" TargetMode="External" /><Relationship Type="http://schemas.openxmlformats.org/officeDocument/2006/relationships/hyperlink" Id="rId28" Target="http://www.szse.cn/main/aboutus/bsyw/39772036.shtml" TargetMode="External" /><Relationship Type="http://schemas.openxmlformats.org/officeDocument/2006/relationships/hyperlink" Id="rId72" Target="http://yq.stcn.com/2017/0605/13396077.s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7/"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3" Target="9a.pdf" TargetMode="External" /><Relationship Type="http://schemas.openxmlformats.org/officeDocument/2006/relationships/hyperlink" Id="rId66" Target="http://company.stcn.com/2017/0604/13395435.shtml" TargetMode="External" /><Relationship Type="http://schemas.openxmlformats.org/officeDocument/2006/relationships/hyperlink" Id="rId69" Target="http://company.stcn.com/2017/0605/13395960.shtml" TargetMode="External" /><Relationship Type="http://schemas.openxmlformats.org/officeDocument/2006/relationships/hyperlink" Id="rId59" Target="http://www.chinacourt.org/article/detail/2017/06/id/2886119.shtml" TargetMode="External" /><Relationship Type="http://schemas.openxmlformats.org/officeDocument/2006/relationships/hyperlink" Id="rId34" Target="http://www.chinaforex.com.cn/index.php/cms/item-view-id-43761.shtml" TargetMode="External" /><Relationship Type="http://schemas.openxmlformats.org/officeDocument/2006/relationships/hyperlink" Id="rId31" Target="http://www.chinaforex.com.cn/index.php/cms/item-view-id-43781.shtml" TargetMode="External" /><Relationship Type="http://schemas.openxmlformats.org/officeDocument/2006/relationships/hyperlink" Id="rId37" Target="http://www.chinaforex.com.cn/index.php/cms/item-view-id-43803.shtml" TargetMode="External" /><Relationship Type="http://schemas.openxmlformats.org/officeDocument/2006/relationships/hyperlink" Id="rId25" Target="http://www.chinaforex.com.cn/index.php/cms/item-view-id-43853.shtml" TargetMode="External" /><Relationship Type="http://schemas.openxmlformats.org/officeDocument/2006/relationships/hyperlink" Id="rId51" Target="http://www.chinatax.gov.cn/n810219/n810724/c2651139/content.html" TargetMode="External" /><Relationship Type="http://schemas.openxmlformats.org/officeDocument/2006/relationships/hyperlink" Id="rId44" Target="http://www.circ.gov.cn/web/site0/tab5168/info4070148.htm" TargetMode="External" /><Relationship Type="http://schemas.openxmlformats.org/officeDocument/2006/relationships/hyperlink" Id="rId47" Target="http://www.circ.gov.cn/web/site0/tab5168/info4070155.htm" TargetMode="External" /><Relationship Type="http://schemas.openxmlformats.org/officeDocument/2006/relationships/hyperlink" Id="rId40" Target="http://www.csrc.gov.cn/pub/newsite/zjhxwfb/xwdd/201706/t20170602_317815.html" TargetMode="External" /><Relationship Type="http://schemas.openxmlformats.org/officeDocument/2006/relationships/hyperlink" Id="rId55" Target="http://www.legaldaily.com.cn/index_article/content/2017-06/01/content_7187415.htm?node=5955" TargetMode="External" /><Relationship Type="http://schemas.openxmlformats.org/officeDocument/2006/relationships/hyperlink" Id="rId62" Target="http://www.legaldaily.com.cn/index_article/content/2017-06/04/content_7190843.htm?node=5955" TargetMode="External" /><Relationship Type="http://schemas.openxmlformats.org/officeDocument/2006/relationships/hyperlink" Id="rId28" Target="http://www.szse.cn/main/aboutus/bsyw/39772036.shtml" TargetMode="External" /><Relationship Type="http://schemas.openxmlformats.org/officeDocument/2006/relationships/hyperlink" Id="rId72" Target="http://yq.stcn.com/2017/0605/13396077.s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第547期 - 2017年06月09日</dc:title>
  <dc:creator/>
</cp:coreProperties>
</file>