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第549期</w:t>
      </w:r>
      <w:r>
        <w:t xml:space="preserve"> </w:t>
      </w:r>
      <w:r>
        <w:t xml:space="preserve">-</w:t>
      </w:r>
      <w:r>
        <w:t xml:space="preserve"> </w:t>
      </w:r>
      <w:r>
        <w:t xml:space="preserve">2017年06月23日</w:t>
      </w:r>
    </w:p>
    <w:p>
      <w:hyperlink r:id="rId21">
        <w:r>
          <w:rPr>
            <w:rStyle w:val="Link"/>
          </w:rPr>
          <w:t xml:space="preserve">网络版</w:t>
        </w:r>
      </w:hyperlink>
    </w:p>
    <w:p>
      <w:pPr>
        <w:pStyle w:val="Heading1"/>
      </w:pPr>
      <w:bookmarkStart w:id="22" w:name="中国证监会等三部门分类稳妥推动ppp项目资产证券化"/>
      <w:bookmarkEnd w:id="22"/>
      <w:r>
        <w:t xml:space="preserve">中国证监会等三部门：分类稳妥推动PPP项目资产证券化</w:t>
      </w:r>
    </w:p>
    <w:p>
      <w:pPr>
        <w:pStyle w:val="Heading2"/>
      </w:pPr>
      <w:bookmarkStart w:id="23" w:name="资本市场"/>
      <w:bookmarkEnd w:id="23"/>
      <w:r>
        <w:t xml:space="preserve">资本市场</w:t>
      </w:r>
    </w:p>
    <w:p>
      <w:pPr>
        <w:pStyle w:val="Heading3"/>
      </w:pPr>
      <w:bookmarkStart w:id="24" w:name="中国证监会等三部门分类稳妥推动ppp项目资产证券化-1"/>
      <w:bookmarkEnd w:id="24"/>
      <w:r>
        <w:t xml:space="preserve">中国证监会等三部门：分类稳妥推动PPP项目资产证券化</w:t>
      </w:r>
    </w:p>
    <w:p>
      <w:r>
        <w:t xml:space="preserve">中国证监会、财政部和中国人民银行三部门近日印发《关于规范开展政府和社会资本合作项目资产证券化有关事宜的通知》（以下简称《通知》），《通知》明确，分类稳妥地推动PPP项目资产证券化，开展资产证券化的PPP项目应当运作规范、权属清晰。</w:t>
      </w:r>
    </w:p>
    <w:p>
      <w:r>
        <w:t xml:space="preserve">《通知》中规定，除PPP合同对项目公司股东的股权转让质押等权利有限制性约定外，在项目建成运营2年后，项目公司的股东可以以能够带来现金流的股权作为基础资产，发行资产证券化产品，盘活存量股权资产，提高资产流动性。其中，控股股东发行规模不得超过股权带来现金流现值的50%，其他股东发行规模不得超过股权带来现金流现值的70%。《通知》还规定，项目公司、项目公司的股东作为发起人（原始权益人）申请通过发行主管部门绿色通道受理的，项目还应当成功运营2年以上，发起人（原始权益人）信用稳健，最近三年未发生重大违约或虚假信息披露，无不良信用记录。</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msci公布将中国a股纳入msci新兴市场指数"/>
      <w:bookmarkEnd w:id="27"/>
      <w:r>
        <w:t xml:space="preserve">MSCI公布将中国A股纳入MSCI新兴市场指数</w:t>
      </w:r>
    </w:p>
    <w:p>
      <w:r>
        <w:t xml:space="preserve">摩根士丹利资本国际公司（MSCI）于2017年6月20日公布，从2018年6月开始将中国A股纳入MSCI新兴市场指数和MSCI ACWI全球指数。受此利好刺激，6月21日A股市场主要指数高开，白马股受到提振重掌领涨大旗，并翘尾支撑指数上行。</w:t>
      </w:r>
    </w:p>
    <w:p>
      <w:r>
        <w:t xml:space="preserve">证券业人士认为，近700亿元增量资金有望逐步进入A股市场。随着越来越多的海外投资者进入A股市场，蓝筹股的投资价值将更受重视。资本市场对外开放大势所趋，A股投资格局将逐步重构。公开资料显示，MSCI指数（明晟指数）是全球投资组合经理采用最多的基准指数。据权威机构估算，截至2015年6月，全球约10万亿美元的资产以MSCI指数为基准。由此，国际投资者一定会增加对中国证券资产的配置。MSCI高管指出，基于5%的纳入因子，预计A股纳入MSCI后初始资金流入在170亿美元至180亿美元左右；如果中国A股在未来完全纳入，预计资金流入可能达到3400亿美元左右。</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年第二次金砖国家财长和央行行长会议在上海成功举行"/>
      <w:bookmarkEnd w:id="30"/>
      <w:r>
        <w:t xml:space="preserve">2017年第二次金砖国家财长和央行行长会议在上海成功举行</w:t>
      </w:r>
    </w:p>
    <w:p>
      <w:r>
        <w:t xml:space="preserve">2017年6月19日，中国担任金砖国家主席国期间的第二次金砖国家财长和央行行长会议在上海成功举行。会议对全球和金砖各国宏观经济形势、G20财金议题协调以及务实财金合作等议题进行了讨论，并就财金合作成果文件达成共识，为金砖国家领导人厦门会晤做好了财金领域政策和成果准备。</w:t>
      </w:r>
    </w:p>
    <w:p>
      <w:r>
        <w:t xml:space="preserve">会上，各方认为应进一步加强以下领域合作：一是推动新开发银行取得新发展，积极发挥金砖国家重要合作平台作用。二是强调推动金砖国家本币债券市场发展的重要性，一致同意促进相关领域合作。三是建立政府和社会资本合作（PPP）领域合作框架，为金砖国家开展PPP合作打下坚实基础。四是推动金融机构和金融服务网络化布局，加强金融监管合作。五是同意就会计准则趋同和审计监管等效开展合作，为金砖国家债券市场互联互通提供制度保障。六是发展和完善金砖国家应急储备安排机制（CRA），提高CRA的研究能力。七是进一步就开展货币互换、本币清算和本币直接投资等货币合作加强沟通与协调。八是完善国际税收协调机制，提高政策协调的及时性和有效性。九是加强反洗钱和反恐融资合作，维护金砖国家金融体系安全。</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中国银监会等部门要求网贷平台一律暂停校园贷业务"/>
      <w:bookmarkEnd w:id="33"/>
      <w:r>
        <w:t xml:space="preserve">中国银监会等部门要求网贷平台一律暂停校园贷业务</w:t>
      </w:r>
    </w:p>
    <w:p>
      <w:r>
        <w:t xml:space="preserve">近日，中国银监会、教育部、人力资源社会保障部下发通知，要求未经银行业监管部门批准设立的机构禁止提供校园贷服务。同时，现阶段一律暂停网贷机构开展校园贷业务。此外，商业银行和政策性银行在风险可控前提下，有针对性地开发高校助学、培训、消费等金融产品。</w:t>
      </w:r>
    </w:p>
    <w:p>
      <w:r>
        <w:t xml:space="preserve">此次，中国银监会、教育部、人力资源社会保障部联合下发的文件，采用“疏堵结合”的方式整治校园贷乱象。所谓“疏”是允许商业银行和政策性银行在风险可控的前提下，有针对性地开发高校助学、培训、消费、创业等金融产品，畅通正规、阳光的校园贷服务渠道。此次新政中的“堵”体现在两点：未经银行业监管部门批准设立的机构不得进入校园为大学生提供信贷服务；现阶段，一律暂停网贷机构开展在校大学生网贷业务，逐步消化存量业务，确定整改完成期限，明确退出时间表。</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欧洲央行持有人民币储备彰显对中国信心"/>
      <w:bookmarkEnd w:id="36"/>
      <w:r>
        <w:t xml:space="preserve">欧洲央行持有人民币储备彰显对中国信心</w:t>
      </w:r>
    </w:p>
    <w:p>
      <w:r>
        <w:t xml:space="preserve">欧洲央行日前发布公告称，今年上半年通过出售美元，共增加等值5亿欧元的人民币外汇储备。这是欧洲央行首次将人民币纳入外汇储备，反映出欧洲央行对中国经济有信心。欧洲央行在声明中说，增加人民币外汇储备是欧洲央行在今年1月20日理事会会议上做出的决定，但该决定当时并未公开。欧洲央行表示，将人民币纳入外汇储备与近几年人民币作为国际货币的使用增加有关，也反映出中国作为欧元区最大贸易伙伴之一的重要性。</w:t>
      </w:r>
    </w:p>
    <w:p>
      <w:r>
        <w:t xml:space="preserve">在人民币国际化进程中，中欧双方互动频繁。一方面，离岸人民币业务在伦敦、法兰克福、卢森堡等欧洲金融中心稳步发展。另一方面，中国人民银行与欧洲央行在本币互换方面密切合作。2013年10月，中国人民银行与欧洲央行签署规模为3500亿元人民币/450亿欧元的中欧双边本币互换协议。2016年9月，双方决定将双边本币互换协议有效期延长三年至2019年10月8日，互换规模不变。英国《金融时报》刊文指出，欧洲央行购买人民币资产折射出欧洲日益接受中国作为一个世界经济大国的地位，以及欧洲与中国建立更紧密联系的愿望。</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香港正式成为亚投行新成员迎来新机遇"/>
      <w:bookmarkEnd w:id="39"/>
      <w:r>
        <w:t xml:space="preserve">香港正式成为亚投行新成员，迎来新机遇</w:t>
      </w:r>
    </w:p>
    <w:p>
      <w:r>
        <w:t xml:space="preserve">香港特区政府近日宣布，香港已成为亚洲基础设施投资银行（以下简称“亚投行”）新成员。财政司司长陈茂波率领香港代表团首次以成员身份出席亚投行在韩国济州举行的第二届理事会年会。</w:t>
      </w:r>
    </w:p>
    <w:p>
      <w:r>
        <w:t xml:space="preserve">香港特区政府财政司司长陈茂波表示，中国香港早日完成加入亚投行的程序，显示港府已做好准备支持亚投行的运作。他表示，作为国际金融中心，香港拥有“一国两制”的独特优势、成熟稳健和流动性充裕的金融市场，以及大量具国际经验的顶尖金融人才。香港的优势可以协助亚投行筹集资金，为该行的不同基建项目融资。亚投行是一个政府间性质的亚洲区域多边开发机构，重点支持基础设施建设，成立宗旨是为了促进亚洲区域的建设互联互通化和经济一体化的进程，并且加强中国及其他亚洲国家和地区的合作。</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2"/>
      </w:pPr>
      <w:bookmarkStart w:id="42" w:name="保险"/>
      <w:bookmarkEnd w:id="42"/>
      <w:r>
        <w:t xml:space="preserve">保险</w:t>
      </w:r>
    </w:p>
    <w:p>
      <w:pPr>
        <w:pStyle w:val="Heading3"/>
      </w:pPr>
      <w:bookmarkStart w:id="43" w:name="中国保监会发布进一步贯彻落实疏解北京非首都功能有关政策意见的通知"/>
      <w:bookmarkEnd w:id="43"/>
      <w:r>
        <w:t xml:space="preserve">中国保监会发布进一步贯彻落实疏解北京非首都功能有关政策意见的通知</w:t>
      </w:r>
    </w:p>
    <w:p>
      <w:r>
        <w:t xml:space="preserve">为切实推进保险业服务疏解北京非首都功能的政策实施，全面落实京津冀协同发展领导小组工作部署，近日，中国保监会发布了《关于进一步贯彻落实疏解北京非首都功能有关政策意见的通知》（以下简称《通知》）。</w:t>
      </w:r>
    </w:p>
    <w:p>
      <w:r>
        <w:t xml:space="preserve">《通知》重点强调了六方面的政策措施。一是引导保险法人机构落户天津、河北，缓解北京地区法人机构设置压力；二是有序布局保险专业代理机构，支持符合条件的各类资本在河北等地设立全国性保险专业代理机构；三是鼓励保险公司合理布局分支机构，支持未在京津冀设立分支机构的保险公司优先在河北等地设立分支机构；四是引导保险公司疏解转移在京下属服务机构，禁止在京新设数据中心、呼叫中心等；五是鼓励保险公司在京外地区设立服务机构，支持设立IT、审计等共享服务子公司以及数据中心等下属服务机构；六是鼓励保险公司在京外地区布局保险关联产业，支持在天津、河北统筹布局与保险业务相关的养老、医疗、汽车服务、现代农业、新型商贸流通等产业。</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2"/>
      </w:pPr>
      <w:bookmarkStart w:id="46" w:name="税收"/>
      <w:bookmarkEnd w:id="46"/>
      <w:r>
        <w:t xml:space="preserve">税收</w:t>
      </w:r>
    </w:p>
    <w:p>
      <w:pPr>
        <w:pStyle w:val="Heading3"/>
      </w:pPr>
      <w:bookmarkStart w:id="47" w:name="国家税务总局财政部联合发布关于延续支持农村金融发展有关税收政策的通知"/>
      <w:bookmarkEnd w:id="47"/>
      <w:r>
        <w:t xml:space="preserve">国家税务总局、财政部联合发布《关于延续支持农村金融发展有关税收政策的通知》</w:t>
      </w:r>
    </w:p>
    <w:p>
      <w:r>
        <w:t xml:space="preserve">国家税务总局、财政部近日联合发布的《关于延续支持农村金融发展有关税收政策的通知》（以下简称《通知》）提出，2017年1月1日至2019年12月31日，对金融机构农户小额贷款的利息收入，免征增值税，且在计算应纳税所得额时按90%计入收入总额。对保险公司为种植业、养殖业提供保险业务取得的保费收入，在计算应纳税所得额时，按90%计入收入总额。</w:t>
      </w:r>
    </w:p>
    <w:p>
      <w:r>
        <w:t xml:space="preserve">专家指出，对农户小额贷款利息收入免征增值税，不仅能够有效降低贷款成本，还有利于扩大向农户提供贷款的金融机构的范围。按照目前的规定，农户小额贷款一般指单笔且该农户贷款余额总额在10万元及以下的贷款。对于绝大多数农户来讲，这种规模的贷款就能够解决农业生产经营过程中大多数的资金需求，因而受益面非常广。</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税务总局发布关于简化税务行政许可事项办理程序的公告"/>
      <w:bookmarkEnd w:id="50"/>
      <w:r>
        <w:t xml:space="preserve">税务总局发布《关于简化税务行政许可事项办理程序的公告》</w:t>
      </w:r>
    </w:p>
    <w:p>
      <w:r>
        <w:t xml:space="preserve">税务总局近日发布了《关于简化税务行政许可事项办理程序的公告》（以下简称《公告》），对当前税务行政许可事项办理程序进行了简并优化，推出能够为行政许可相对人带来实际便利的5方面措施，自2017年7月1日起施行。</w:t>
      </w:r>
    </w:p>
    <w:p>
      <w:r>
        <w:t xml:space="preserve">《公告》对能够当即办理的税务行政许可事项受理程序进行了简化，规定对即办事项直接出具和送达《准予税务行政许可决定书》，不再出具《税务行政许可受理通知书》，进一步提升办理效率，缩短审批时间。《公告》还授权省税务局确定即办事项范围，推动各省税务局结合本省实际情况进一步落实并深化办理时限承诺制。《公告》明确规定实行税务行政许可咨询服务24小时可预约，即使不在工作时间，税务行政许可实施机关也通过官方网站、电子邮箱或移动办税平台等渠道接受公众提出问题或咨询的预约，畅通咨询服务“最后一公里”。</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2"/>
      </w:pPr>
      <w:bookmarkStart w:id="53" w:name="行业"/>
      <w:bookmarkEnd w:id="53"/>
      <w:r>
        <w:t xml:space="preserve">行业</w:t>
      </w:r>
    </w:p>
    <w:p>
      <w:pPr>
        <w:pStyle w:val="Heading3"/>
      </w:pPr>
      <w:bookmarkStart w:id="54" w:name="国务院办公厅印发矿业权出让制度改革方案"/>
      <w:bookmarkEnd w:id="54"/>
      <w:r>
        <w:t xml:space="preserve">国务院办公厅印发《矿业权出让制度改革方案》</w:t>
      </w:r>
    </w:p>
    <w:p>
      <w:r>
        <w:t xml:space="preserve">近日，国务院办公厅、中共中央办公厅印发《矿业权出让制度改革方案》（以下简称《方案》）。《方案》提出要按照市场经济要求和矿业规律，改革完善矿业权出让制度，用3年左右时间，建成“竞争出让更加全面，有偿使用更加完善，事权划分更加合理，监管服务更加到位”的矿业权出让制度。</w:t>
      </w:r>
    </w:p>
    <w:p>
      <w:r>
        <w:t xml:space="preserve">此次《方案》要求以招标拍卖挂牌方式为主，全面推进矿业权竞争出让，严格限制矿业权协议出让。在严格限制矿业权协议出让方面，《方案》要求协议出让范围严格控制在国务院确定的特定勘查开采主体和批准的重点建设项目，以及大中型矿山已设采矿权深部。协议出让必须实行集体决策、价格评估、结果公示，建立协议出让基准价制度，完善国家财政出资探矿权管理。</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工业和信息化部办公厅发布关于全面推进移动物联网建设发展的通知"/>
      <w:bookmarkEnd w:id="57"/>
      <w:r>
        <w:t xml:space="preserve">工业和信息化部办公厅发布关于全面推进移动物联网建设发展的通知</w:t>
      </w:r>
    </w:p>
    <w:p>
      <w:r>
        <w:t xml:space="preserve">为进一步夯实物联网应用基础设施，有助于推进网络强国和制造强国建设，促进“大众创业、万众创新”和“互联网+”发展，推进NB-IoT网络部署和拓展行业应用，加快NB-IoT的创新和发展，工业和信息化部办公厅发布了《关于全面推进移动物联网（NB-IoT）建设发展的通知》（以下简称《通知》）。</w:t>
      </w:r>
    </w:p>
    <w:p>
      <w:r>
        <w:t xml:space="preserve">《通知》中指出，基础电信企业要加大NB-IoT网络部署力度，提供良好的网络覆盖和服务质量，全面增强NB-IoT接入支撑能力。到2017年末，实现NB-IoT网络覆盖直辖市、省会城市等主要城市，基站规模达到40万个。到2020年，NB-IoT网络实现全国普遍覆盖，面向室内、交通路网、地下管网等应用场景实现深度覆盖，基站规模达到150万个。加强物联网平台能力建设，支持海量终端接入，提升大数据运营能力。</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2"/>
      </w:pPr>
      <w:bookmarkStart w:id="60" w:name="并购"/>
      <w:bookmarkEnd w:id="60"/>
      <w:r>
        <w:t xml:space="preserve">并购</w:t>
      </w:r>
    </w:p>
    <w:p>
      <w:pPr>
        <w:pStyle w:val="Heading3"/>
      </w:pPr>
      <w:bookmarkStart w:id="61" w:name="朗科智能拟10.8亿收购君天恒讯加强定制化布局"/>
      <w:bookmarkEnd w:id="61"/>
      <w:r>
        <w:t xml:space="preserve">朗科智能拟10.8亿收购君天恒讯，加强定制化布局</w:t>
      </w:r>
    </w:p>
    <w:p>
      <w:r>
        <w:t xml:space="preserve">近日，朗科智能发布重组预案，预案显示，朗科智能拟以10.8亿元收购深圳市君天恒讯科技有限公司100%股权，其中70%的收购价款将以45.71元/股的价格向共青城浩翔、福鹏宏祥、共青城建融3名交易对方共发行16,539,049股募集75,600.00万元，剩余30%的收购价款将向不超过5名其他特定投资者发行股份募集配套资金，配套资金不超过35,400.00万元，分别用于支付现金对价及相关费用。本次交易完成后，君天恒讯将成为朗科智能全资子公司。</w:t>
      </w:r>
    </w:p>
    <w:p>
      <w:r>
        <w:t xml:space="preserve">据悉，朗科智能主要从事电子智能控制器产品的研发、生产和销售，产品主要应用于家用电器、电动工具、锂电池保护、LED和HID照明电源等领域。本次交易完成后，朗科智能与君天恒讯将在战略、技术、销售、采购、管理等多方面产生较强的协同效应，促进双方的市场拓展，提升技术、产品的研发能力，进一步加强朗科智能的定制化特性，加强对下游家电领域客户的开发及培育，拓展公司的产业布局，增强公司的抗风险能力，进一步提升公司的经营效益。如若此次重组事项顺利完成，随着君天恒讯优质资产的注入，朗科智能将进一步完善自身产业链布局，增加核心业务利润增长点，提升公司的盈利能力及持续经营能力。</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3"/>
      </w:pPr>
      <w:bookmarkStart w:id="64" w:name="上市公司金冠电气14.8亿收购鸿图隔膜"/>
      <w:bookmarkEnd w:id="64"/>
      <w:r>
        <w:t xml:space="preserve">上市公司金冠电气14.8亿收购鸿图隔膜</w:t>
      </w:r>
    </w:p>
    <w:p>
      <w:r>
        <w:t xml:space="preserve">近日，上市公司金冠电气发布公告称，拟作价14.76亿元收购新三板挂牌公司鸿图隔膜100%股权。公告显示，金冠电气拟以29.51元/股的价格发行3597.92万股股份支付10.62亿元对价，并支付现金4.15亿元，合计作价14.76亿元，收购张汉鸿、李小明等4名自然人股东及百富源、吉林天馨和英飞尼迪等9个机构股东持有的鸿图隔膜100%股权。</w:t>
      </w:r>
    </w:p>
    <w:p>
      <w:r>
        <w:t xml:space="preserve">此外，为支付本次交易的现金对价并支持鸿图隔膜的未来建设，金冠电气拟以询价发行方式非公开发行股份募集配套资金不超过7.2亿元。鸿图隔膜主要从事锂离子电池隔膜、普通锌锰电池隔膜的研发、生产、销售。2014-2016年鸿图隔膜营业收入分别为2647.56万元、6578.96万元、1.07亿元；净利润分别为409.6万元、800.99万元、2392.77万元。</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3"/>
      </w:pPr>
      <w:bookmarkStart w:id="67" w:name="青岛海尔拟收购pml公司100股权"/>
      <w:bookmarkEnd w:id="67"/>
      <w:r>
        <w:t xml:space="preserve">青岛海尔拟收购PML公司100%股权</w:t>
      </w:r>
    </w:p>
    <w:p>
      <w:r>
        <w:t xml:space="preserve">青岛海尔近日发出公告，公司拟通过境外子公司以支付现金的形式购买海尔集团公司下属境外子公司Fisher &amp; Paykel Appliances Limited（以下简称“斐雪派克”）所持Fisher &amp; Paykel Production Machinery Limited（以下简称“PML公司”）100%股权。公司境外子公司拟向斐雪派克支付4861.5481万美元（对应3.30亿元人民币）现金对价用于受让交易标的。本次交易完成后，PML公司将成为公司全资子公司。</w:t>
      </w:r>
    </w:p>
    <w:p>
      <w:r>
        <w:t xml:space="preserve">公告表示，PML公司主要从事自动化及定制化智能装备制造，并提供工厂管理系统解决方案等业务，2016年度经审计的净利润为人民币550.82万元。本次交易完成后，青岛海尔将整合PML公司和上市公司原有资源，并以其作为智能装备平台的搭建起点，促进海尔智能制造模式在中国制造2025重点领域及全球范围内具备增长潜力的相关行业的应用。</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泰豪科技拟收购上海红生"/>
      <w:bookmarkEnd w:id="70"/>
      <w:r>
        <w:t xml:space="preserve">泰豪科技拟收购上海红生</w:t>
      </w:r>
    </w:p>
    <w:p>
      <w:r>
        <w:t xml:space="preserve">泰豪科技近日发出公告，为契合公司军工装备产业发展方向，进一步加强公司在军工信息化领域的优势，拟以49000万元现金购买上海红生系统工程有限公司（以下简称“上海红生”）100%股权。</w:t>
      </w:r>
    </w:p>
    <w:p>
      <w:r>
        <w:t xml:space="preserve">公告显示，上海红生注册资本为500万元，主要业务包括军用信息系统和军用专业仪器仪表，主要装备于海军各型舰船及相关的维修保障基地、部队。公司表示，上海红生主要产品为海军数据链系统，广泛装备于国产舰船，其产品契合公司军工装备产业发展方向，能进一步加强公司在军工信息化领域的优势，深入开拓海军装备市场，加快公司军工产业规模化发展。</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3">
        <w:r>
          <w:rPr>
            <w:rStyle w:val="Link"/>
          </w:rPr>
          <w:t xml:space="preserve">unsubscribe@charltonslaw.com</w:t>
        </w:r>
      </w:hyperlink>
    </w:p>
    <w:p>
      <w:r>
        <w:rPr>
          <w:b/>
        </w:rPr>
        <w:t xml:space="preserve">易周律师行 - 法讯 - 中国 - 第549期 - 2017年06月23日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800fc6f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www.charltonslaw.com.cn/china-news-alerts-cn-issue-549/" TargetMode="Externa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71" Target="http://company.stcn.com/2017/0616/13422619.shtml" TargetMode="External" /><Relationship Type="http://schemas.openxmlformats.org/officeDocument/2006/relationships/hyperlink" Id="rId68" Target="http://company.stcn.com/2017/0621/13432636.shtml" TargetMode="External" /><Relationship Type="http://schemas.openxmlformats.org/officeDocument/2006/relationships/hyperlink" Id="rId62" Target="http://company.stcn.com/2017/0621/13435064.shtml" TargetMode="External" /><Relationship Type="http://schemas.openxmlformats.org/officeDocument/2006/relationships/hyperlink" Id="rId28" Target="http://money.china.com/stock/direct/201706/22/314737.html" TargetMode="External" /><Relationship Type="http://schemas.openxmlformats.org/officeDocument/2006/relationships/hyperlink" Id="rId40" Target="http://news.sina.com.cn/gov/2017-06-14/doc-ifyfzfyz4062414.shtml" TargetMode="External" /><Relationship Type="http://schemas.openxmlformats.org/officeDocument/2006/relationships/hyperlink" Id="rId55" Target="http://news.xinhuanet.com/politics/2017-06/17/c_1121160052.htm" TargetMode="External" /><Relationship Type="http://schemas.openxmlformats.org/officeDocument/2006/relationships/hyperlink" Id="rId65" Target="http://sanban.stcn.com/2017/0620/13429842.shtml" TargetMode="External" /><Relationship Type="http://schemas.openxmlformats.org/officeDocument/2006/relationships/hyperlink" Id="rId48" Target="http://www.chinaforex.com.cn/index.php/cms/item-view-id-43946.shtml" TargetMode="External" /><Relationship Type="http://schemas.openxmlformats.org/officeDocument/2006/relationships/hyperlink" Id="rId37" Target="http://www.chinaforex.com.cn/index.php/cms/item-view-id-43985.shtml" TargetMode="External" /><Relationship Type="http://schemas.openxmlformats.org/officeDocument/2006/relationships/hyperlink" Id="rId51" Target="http://www.chinapeace.gov.cn/2017-06/15/content_11415628.htm" TargetMode="External" /><Relationship Type="http://schemas.openxmlformats.org/officeDocument/2006/relationships/hyperlink" Id="rId25" Target="http://www.chinapeace.gov.cn/2017-06/19/content_11416223.htm" TargetMode="External" /><Relationship Type="http://schemas.openxmlformats.org/officeDocument/2006/relationships/hyperlink" Id="rId44" Target="http://www.circ.gov.cn/web/site0/tab5168/info4072631.htm" TargetMode="External" /><Relationship Type="http://schemas.openxmlformats.org/officeDocument/2006/relationships/hyperlink" Id="rId58" Target="http://www.gov.cn/xinwen/2017-06/16/content_5203173.htm" TargetMode="External" /><Relationship Type="http://schemas.openxmlformats.org/officeDocument/2006/relationships/hyperlink" Id="rId31" Target="http://www.gov.cn/xinwen/2017-06/19/content_5203693.htm" TargetMode="External" /><Relationship Type="http://schemas.openxmlformats.org/officeDocument/2006/relationships/hyperlink" Id="rId34" Target="http://www.legaldaily.com.cn/index/content/2017-06/17/content_7209119.htm?node=20908" TargetMode="External" /><Relationship Type="http://schemas.openxmlformats.org/officeDocument/2006/relationships/hyperlink" Id="rId73"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www.charltonslaw.com.cn/china-news-alerts-cn-issue-549/" TargetMode="Externa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71" Target="http://company.stcn.com/2017/0616/13422619.shtml" TargetMode="External" /><Relationship Type="http://schemas.openxmlformats.org/officeDocument/2006/relationships/hyperlink" Id="rId68" Target="http://company.stcn.com/2017/0621/13432636.shtml" TargetMode="External" /><Relationship Type="http://schemas.openxmlformats.org/officeDocument/2006/relationships/hyperlink" Id="rId62" Target="http://company.stcn.com/2017/0621/13435064.shtml" TargetMode="External" /><Relationship Type="http://schemas.openxmlformats.org/officeDocument/2006/relationships/hyperlink" Id="rId28" Target="http://money.china.com/stock/direct/201706/22/314737.html" TargetMode="External" /><Relationship Type="http://schemas.openxmlformats.org/officeDocument/2006/relationships/hyperlink" Id="rId40" Target="http://news.sina.com.cn/gov/2017-06-14/doc-ifyfzfyz4062414.shtml" TargetMode="External" /><Relationship Type="http://schemas.openxmlformats.org/officeDocument/2006/relationships/hyperlink" Id="rId55" Target="http://news.xinhuanet.com/politics/2017-06/17/c_1121160052.htm" TargetMode="External" /><Relationship Type="http://schemas.openxmlformats.org/officeDocument/2006/relationships/hyperlink" Id="rId65" Target="http://sanban.stcn.com/2017/0620/13429842.shtml" TargetMode="External" /><Relationship Type="http://schemas.openxmlformats.org/officeDocument/2006/relationships/hyperlink" Id="rId48" Target="http://www.chinaforex.com.cn/index.php/cms/item-view-id-43946.shtml" TargetMode="External" /><Relationship Type="http://schemas.openxmlformats.org/officeDocument/2006/relationships/hyperlink" Id="rId37" Target="http://www.chinaforex.com.cn/index.php/cms/item-view-id-43985.shtml" TargetMode="External" /><Relationship Type="http://schemas.openxmlformats.org/officeDocument/2006/relationships/hyperlink" Id="rId51" Target="http://www.chinapeace.gov.cn/2017-06/15/content_11415628.htm" TargetMode="External" /><Relationship Type="http://schemas.openxmlformats.org/officeDocument/2006/relationships/hyperlink" Id="rId25" Target="http://www.chinapeace.gov.cn/2017-06/19/content_11416223.htm" TargetMode="External" /><Relationship Type="http://schemas.openxmlformats.org/officeDocument/2006/relationships/hyperlink" Id="rId44" Target="http://www.circ.gov.cn/web/site0/tab5168/info4072631.htm" TargetMode="External" /><Relationship Type="http://schemas.openxmlformats.org/officeDocument/2006/relationships/hyperlink" Id="rId58" Target="http://www.gov.cn/xinwen/2017-06/16/content_5203173.htm" TargetMode="External" /><Relationship Type="http://schemas.openxmlformats.org/officeDocument/2006/relationships/hyperlink" Id="rId31" Target="http://www.gov.cn/xinwen/2017-06/19/content_5203693.htm" TargetMode="External" /><Relationship Type="http://schemas.openxmlformats.org/officeDocument/2006/relationships/hyperlink" Id="rId34" Target="http://www.legaldaily.com.cn/index/content/2017-06/17/content_7209119.htm?node=20908" TargetMode="External" /><Relationship Type="http://schemas.openxmlformats.org/officeDocument/2006/relationships/hyperlink" Id="rId73"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第549期 - 2017年06月23日</dc:title>
  <dc:creator/>
</cp:coreProperties>
</file>