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第550期</w:t>
      </w:r>
      <w:r>
        <w:t xml:space="preserve"> </w:t>
      </w:r>
      <w:r>
        <w:t xml:space="preserve">-</w:t>
      </w:r>
      <w:r>
        <w:t xml:space="preserve"> </w:t>
      </w:r>
      <w:r>
        <w:t xml:space="preserve">2017年06月30日</w:t>
      </w:r>
    </w:p>
    <w:p>
      <w:hyperlink r:id="rId21">
        <w:r>
          <w:rPr>
            <w:rStyle w:val="Link"/>
          </w:rPr>
          <w:t xml:space="preserve">网络版</w:t>
        </w:r>
      </w:hyperlink>
    </w:p>
    <w:p>
      <w:pPr>
        <w:pStyle w:val="Heading1"/>
      </w:pPr>
      <w:bookmarkStart w:id="22" w:name="内地与香港cepa投资协议和cepa经济技术合作协议在香港签署"/>
      <w:bookmarkEnd w:id="22"/>
      <w:r>
        <w:t xml:space="preserve">内地与香港《CEPA投资协议》和《CEPA经济技术合作协议》在香港签署</w:t>
      </w:r>
    </w:p>
    <w:p>
      <w:pPr>
        <w:pStyle w:val="Heading2"/>
      </w:pPr>
      <w:bookmarkStart w:id="23" w:name="资本市场"/>
      <w:bookmarkEnd w:id="23"/>
      <w:r>
        <w:t xml:space="preserve">资本市场</w:t>
      </w:r>
    </w:p>
    <w:p>
      <w:pPr>
        <w:pStyle w:val="Heading3"/>
      </w:pPr>
      <w:bookmarkStart w:id="24" w:name="内地与香港cepa投资协议和cepa经济技术合作协议在香港签署-1"/>
      <w:bookmarkEnd w:id="24"/>
      <w:r>
        <w:t xml:space="preserve">内地与香港《CEPA投资协议》和《CEPA经济技术合作协议》在香港签署</w:t>
      </w:r>
    </w:p>
    <w:p>
      <w:r>
        <w:t xml:space="preserve">经国务院批准，2017年6月28日，商务部副部长高燕与香港特区政府财政司司长陈茂波在香港签署了内地与香港《CEPA投资协议》和《CEPA经济技术合作协议》。两个协议自签署之日起生效，其中《CEPA投资协议》将于2018年1月1日起正式实施。</w:t>
      </w:r>
    </w:p>
    <w:p>
      <w:r>
        <w:t xml:space="preserve">《CEPA投资协议》和《CEPA经济技术合作协议》是CEPA升级的重要组成部分，是内地与香港在“一国两制”框架下按照世贸组织规则作出的特殊经贸安排，充分体现了中央对香港经济发展和长期繁荣稳定的支持。《CEPA投资协议》是CEPA的一个内容全新的子协议，由正文4章29条及3个附件组成，全面涵盖投资准入、投资保护和投资促进等内容，对接国际规则，兼具两地特色，开放程度高，保护力度大，将为两地经贸交流与合作提供更加系统性的制度化保障。在投资准入方面，《CEPA投资协议》将进一步提升两地间的投资自由化水平。《CEPA投资协议》将对香港来内地投资和内地赴香港投资实现更加全面、完善的投资保护。通过《CEPA经济技术合作协议》，把支持香港参与“一带一路”建设、次区域合作的内容纳入其中，使香港融入国家发展战略，深度参与国家改革开放大局，有利于内地与香港经济的全面深入融合，实现共同发展。</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商务部发布外商投资产业指导目录披露准入负面清单"/>
      <w:bookmarkEnd w:id="27"/>
      <w:r>
        <w:t xml:space="preserve">商务部发布外商投资产业指导目录，披露准入负面清单</w:t>
      </w:r>
    </w:p>
    <w:p>
      <w:r>
        <w:t xml:space="preserve">2017年6月28日，商务部发布2017年第4号外商投资产业指导目录（2017年修订）（以下简称《指导目录》），自2017年7月28日起实施。</w:t>
      </w:r>
    </w:p>
    <w:p>
      <w:r>
        <w:t xml:space="preserve">《指导目录》指出，鼓励外商投资的产业包括农林牧渔，采矿业，制造业，电力、热力、燃气及水生产和供应业，批发和零售业，交通运输、仓储和邮政业等。另外，禁止外商投资产业包括：我国稀有和特有的珍贵优良品种的研发、养殖、种植以及相关繁殖材料的生产（包括种植业、畜牧业、水产业的优良基因）；稀土勘查、开采、选矿；邮政公司、信件的国内快递业务；人体干细胞、基因诊断与治疗技术开发和应用；互联网新闻信息服务、网络出版服务、网络视听节目服务、互联网上网服务营业场所、互联网文化经营（音乐除外）、互联网公众发布信息服务等。</w:t>
      </w:r>
    </w:p>
    <w:p>
      <w:hyperlink r:id="rId28">
        <w:r>
          <w:rPr>
            <w:rStyle w:val="Link"/>
          </w:rPr>
          <w:t xml:space="preserve">来源</w:t>
        </w:r>
      </w:hyperlink>
      <w:r>
        <w:t xml:space="preserve"> </w:t>
      </w:r>
      <w:r>
        <w:t xml:space="preserve">(</w:t>
      </w:r>
      <w:hyperlink r:id="rId29">
        <w:r>
          <w:rPr>
            <w:rStyle w:val="Link"/>
          </w:rPr>
          <w:t xml:space="preserve">副本</w:t>
        </w:r>
      </w:hyperlink>
      <w:r>
        <w:t xml:space="preserve">) (</w:t>
      </w:r>
      <w:hyperlink r:id="rId30">
        <w:r>
          <w:rPr>
            <w:rStyle w:val="Link"/>
          </w:rPr>
          <w:t xml:space="preserve">副本</w:t>
        </w:r>
      </w:hyperlink>
      <w:r>
        <w:t xml:space="preserve">)</w:t>
      </w:r>
    </w:p>
    <w:p>
      <w:pPr>
        <w:pStyle w:val="Heading3"/>
      </w:pPr>
      <w:bookmarkStart w:id="31" w:name="上海自贸区出台全国首份金融服务业对外开放负面清单"/>
      <w:bookmarkEnd w:id="31"/>
      <w:r>
        <w:t xml:space="preserve">上海自贸区出台全国首份金融服务业对外开放负面清单</w:t>
      </w:r>
    </w:p>
    <w:p>
      <w:r>
        <w:t xml:space="preserve">2017年6月28日，中国（上海）自由贸易试验区管委会和上海市金融服务办公室联合召开新闻通气会，发布《中国（上海）自贸试验区金融服务业对外开放负面清单指引（2017年版）》（以下简称《指引》）。《指引》在国家现有政策基础上进一步梳理汇总了金融领域有关外资准入的规定，为外资进入中国金融市场提供便利，也为我国金融业进一步扩大开放作了积极有益探索。</w:t>
      </w:r>
    </w:p>
    <w:p>
      <w:r>
        <w:t xml:space="preserve">《指引》由使用说明和表单两部分组成。使用说明对于编制依据、技术说明、例外规则、执行标准和评估制度等事项作了说明。表单部分列明了外资投资设立金融机构管理（市场准入限制）和外资准入后业务管理措施（国民待遇限制）2方面共10个类别、48项特别管理措施，具体包括股东机构类型要求、股东资产规模要求、股东经营业绩要求、资本金要求、股权结构限制、分支机构设立与运营要求、其他金融机构准入限制、业务范围限制、运营指标要求以及交易所资格限制。</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银监会发布关于进一步规范银行业金融机构吸收公款存款行为的通知"/>
      <w:bookmarkEnd w:id="34"/>
      <w:r>
        <w:t xml:space="preserve">银监会发布《关于进一步规范银行业金融机构吸收公款存款行为的通知》</w:t>
      </w:r>
    </w:p>
    <w:p>
      <w:r>
        <w:t xml:space="preserve">近日，银监会发布《关于进一步规范银行业金融机构吸收公款存款行为的通知》（以下简称《通知》），整顿规范银行业金融机构吸收公款存款行为。</w:t>
      </w:r>
    </w:p>
    <w:p>
      <w:r>
        <w:t xml:space="preserve">《通知》中指出加强业务管理，银行业金融机构应明确规定吸收公款存款的具体形式、费用标准和管理流程，加强相关费用支出的财务管理。完善薪酬管理制度，改进绩效考评体系，不得设立时点性存款规模、市场份额或排名等指标。强化吸收公款存款行为的审计监督，对违规问题严格问责和整改，涉嫌违纪违法的，应移交有关部门处理。另外，《通知》中强调要强化行业自律。银行业协会应督促会员单位强化自律意识，培育合规文化，倡导公平竞争，抵制不当交易，共同遵守《中国银行业反商业贿赂承诺》《中国银行业反不正当竞争公约》等行业规约。</w:t>
      </w:r>
    </w:p>
    <w:p>
      <w:hyperlink r:id="rId35">
        <w:r>
          <w:rPr>
            <w:rStyle w:val="Link"/>
          </w:rPr>
          <w:t xml:space="preserve">来源</w:t>
        </w:r>
      </w:hyperlink>
      <w:r>
        <w:t xml:space="preserve"> </w:t>
      </w:r>
      <w:r>
        <w:t xml:space="preserve">(</w:t>
      </w:r>
      <w:hyperlink r:id="rId36">
        <w:r>
          <w:rPr>
            <w:rStyle w:val="Link"/>
          </w:rPr>
          <w:t xml:space="preserve">副本</w:t>
        </w:r>
      </w:hyperlink>
      <w:r>
        <w:t xml:space="preserve">) (</w:t>
      </w:r>
      <w:hyperlink r:id="rId37">
        <w:r>
          <w:rPr>
            <w:rStyle w:val="Link"/>
          </w:rPr>
          <w:t xml:space="preserve">副本</w:t>
        </w:r>
      </w:hyperlink>
      <w:r>
        <w:t xml:space="preserve">) (</w:t>
      </w:r>
      <w:hyperlink r:id="rId38">
        <w:r>
          <w:rPr>
            <w:rStyle w:val="Link"/>
          </w:rPr>
          <w:t xml:space="preserve">副本</w:t>
        </w:r>
      </w:hyperlink>
      <w:r>
        <w:t xml:space="preserve">)</w:t>
      </w:r>
    </w:p>
    <w:p>
      <w:pPr>
        <w:pStyle w:val="Heading3"/>
      </w:pPr>
      <w:bookmarkStart w:id="39" w:name="证券期货投资者适当性管理办法于2017年7月1日正式实施"/>
      <w:bookmarkEnd w:id="39"/>
      <w:r>
        <w:t xml:space="preserve">《证券期货投资者适当性管理办法》于2017年7月1日正式实施</w:t>
      </w:r>
    </w:p>
    <w:p>
      <w:r>
        <w:t xml:space="preserve">据中国证监会网站消息，《证券期货投资者适当性管理办法》（以下简称《办法》）将于2017年7月1日起正式实施。《办法》作为我国证券期货市场首部投资者保护专项规章，是资本市场重要的基础性制度。贯彻落实好《办法》的规定，对我国资本市场健康发展和中小投资者权益保护将带来积极和深远的影响。</w:t>
      </w:r>
    </w:p>
    <w:p>
      <w:r>
        <w:t xml:space="preserve">《办法》的核心要求在于强化对证券、基金、期货经营机构“卖者有责”的要求，让经营机构在获取经营收益的同时，必须承担法律规定的义务，确保权利义务的对等和统一，切实防范片面追求经济利益，向风险承受能力不足的投资者推介高风险证券期货产品，造成对投资者合法权益的损害和影响。根据《办法》的规定，即使是风险承受能力较低的投资者，在经营机构进行必要的风险提示后，如果坚持购买高风险等级的产品，在经过必要承诺和确认程序后，仍然可以遵从其意愿，参与相关的投资活动。因此，《办法》没有限制投资者的自由交易，是在充分揭示市场风险的基础上，对投资者交易的更好保护。</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上海证券交易所发布上市公司信息披露工作评价办法2017年修订修订说明"/>
      <w:bookmarkEnd w:id="42"/>
      <w:r>
        <w:t xml:space="preserve">上海证券交易所发布《上市公司信息披露工作评价办法（2017年修订）》修订说明</w:t>
      </w:r>
    </w:p>
    <w:p>
      <w:r>
        <w:t xml:space="preserve">为进一步完善上市公司信息披露工作评价机制，努力使评价结果能真正区分出信息披露优劣不同的公司，近日，上海证券交易所发布《上市公司信息披露工作评价办法（2017年修订）》（以下简称《办法》）修订说明。本次修订主要调整了评价期间、评定模式，增加了市场反映强烈的体现从严监管要求的评价内容，并进一步明晰精简优化部分加分项目，同时调整加分项目计分标准。</w:t>
      </w:r>
    </w:p>
    <w:p>
      <w:r>
        <w:t xml:space="preserve">《办法》明确了年度信息披露评价需结合上市公司日常信息披露实际情况进行。其一，在减分方面，本所对上市公司日常信息披露情况保持持续关注，对日常信息披露存在瑕疵的及时采取监管措施或纪律处分，反映于年度减分项目。其二，在加分方面，则明确同类加分类型下存在不符合合规性要求信息披露事项的，本所对符合该类加分类型的其他事项不予考虑。其三，在消极条款方面，公司日常信息披露两次（含）以上被采取口头警示（含）以上监管措施的不得为A。</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税收"/>
      <w:bookmarkEnd w:id="45"/>
      <w:r>
        <w:t xml:space="preserve">税收</w:t>
      </w:r>
    </w:p>
    <w:p>
      <w:pPr>
        <w:pStyle w:val="Heading3"/>
      </w:pPr>
      <w:bookmarkStart w:id="46" w:name="财政部国家税务总局环境保护部就环境保护税法实施条例公开征求意见"/>
      <w:bookmarkEnd w:id="46"/>
      <w:r>
        <w:t xml:space="preserve">财政部、国家税务总局、环境保护部就环境保护税法实施条例公开征求意见</w:t>
      </w:r>
    </w:p>
    <w:p>
      <w:r>
        <w:t xml:space="preserve">财政部、国家税务总局、环境保护部近日就《中华人民共和国环境保护税法实施条例（征求意见稿）》（以下简称《实施条例》）公开征求意见，这体现了贯彻落实税收法定原则，提高立法公众参与度。</w:t>
      </w:r>
    </w:p>
    <w:p>
      <w:r>
        <w:t xml:space="preserve">《实施条例》共42条，明确了环保税法纳税人、征税对象，细化规定了应税污染物排放量的四种计算方法有关具体情形，具体明确了对环保税法规定的免税和减税情形，在环保税法规定的基础上对环境保护税征管事项作了规定。关于纳税人，条例在税法规定的基础上对环境保护税的纳税人予以细化，明确缴纳环境保护税的其他生产经营者是指个体工商户和其他组织。关于环境保护主管部门与税务机关工作如何配合，《实施条例》指出，税务机关应当依据环境保护主管部门传递的排污单位信息进行纳税人识别；各级税务机关、环境保护主管部门应当加强对纳税人的辅导培训，做好纳税咨询服务工作；环境保护主管部门发现纳税人申报的应税污染物排放信息以及适用的排污系数、物料衡算方法不符合相关规范的，应当通知税务机关处理；税务机关依法实施环境保护税的税务检查，环境保护主管部门予以配合。</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国家税务总局财政部发布关于小额贷款公司有关税收政策的通知"/>
      <w:bookmarkEnd w:id="49"/>
      <w:r>
        <w:t xml:space="preserve">国家税务总局、财政部发布《关于小额贷款公司有关税收政策的通知》</w:t>
      </w:r>
    </w:p>
    <w:p>
      <w:r>
        <w:t xml:space="preserve">近日，为引导小额贷款公司在“三农”、小微企业等方面发挥积极作用，更好地服务实体经济发展，国家税务总局、财政部发布了《关于小额贷款公司有关税收政策的通知》（以下简称《通知》）。</w:t>
      </w:r>
    </w:p>
    <w:p>
      <w:r>
        <w:t xml:space="preserve">本《通知》所称小额贷款，是指单笔且该农户贷款余额总额在10万元（含本数）以下的贷款。《通知》中指出，自2017年1月1日至2019年12月31日，对经省级金融管理部门（金融办、局等）批准成立的小额贷款公司按年末贷款余额的1%计提的贷款损失准备金准予在企业所得税税前扣除。具体政策口径按照《财政部国家税务总局关于金融企业贷款损失准备金企业所得税税前扣除有关政策的通知》执行。另外，2017年1月1日至本通知印发之日前已征的应予免征的增值税，可抵减纳税人以后月份应缴纳的增值税或予以退还。</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国家税务总局发布关于实施高新技术企业所得税优惠政策有关问题的公告"/>
      <w:bookmarkEnd w:id="52"/>
      <w:r>
        <w:t xml:space="preserve">国家税务总局发布《关于实施高新技术企业所得税优惠政策有关问题的公告》</w:t>
      </w:r>
    </w:p>
    <w:p>
      <w:r>
        <w:t xml:space="preserve">为贯彻落实高新技术企业所得税优惠政策，根据《科技部、财政部、国家税务总局关于修订印发〈高新技术企业认定管理办法〉的通知》（以下简称《认定办法》）及《科技部、财政部、国家税务总局关于修订印发〈高新技术企业认定管理工作指引〉的通知》以及相关税收规定，国家税务总局发布《关于实施高新技术企业所得税优惠政策有关问题的公告》（以下简称《公告》）。</w:t>
      </w:r>
    </w:p>
    <w:p>
      <w:r>
        <w:t xml:space="preserve">《公告》中指出，企业获得高新技术企业资格后，自高新技术企业证书注明的发证时间所在年度起申报享受税收优惠，并按规定向主管税务机关办理备案手续。企业的高新技术企业资格期满当年，在通过重新认定前，其企业所得税暂按15%的税率预缴，在年底前仍未取得高新技术企业资格的，应按规定补缴相应期间的税款。另外，对取得高新技术企业资格且享受税收优惠的高新技术企业，税务部门如在日常管理过程中发现其在高新技术企业认定过程中或享受优惠期间不符合《认定办法》第十一条规定的认定条件的，应提请认定机构复核。复核后确认不符合认定条件的，由认定机构取消其高新技术企业资格，并通知税务机关追缴其证书有效期内自不符合认定条件年度起已享受的税收优惠。</w:t>
      </w:r>
    </w:p>
    <w:p>
      <w:hyperlink r:id="rId53">
        <w:r>
          <w:rPr>
            <w:rStyle w:val="Link"/>
          </w:rPr>
          <w:t xml:space="preserve">来源</w:t>
        </w:r>
      </w:hyperlink>
      <w:r>
        <w:t xml:space="preserve"> </w:t>
      </w:r>
      <w:r>
        <w:t xml:space="preserve">(</w:t>
      </w:r>
      <w:hyperlink r:id="rId54">
        <w:r>
          <w:rPr>
            <w:rStyle w:val="Link"/>
          </w:rPr>
          <w:t xml:space="preserve">副本</w:t>
        </w:r>
      </w:hyperlink>
      <w:r>
        <w:t xml:space="preserve">) (</w:t>
      </w:r>
      <w:hyperlink r:id="rId55">
        <w:r>
          <w:rPr>
            <w:rStyle w:val="Link"/>
          </w:rPr>
          <w:t xml:space="preserve">副本</w:t>
        </w:r>
      </w:hyperlink>
      <w:r>
        <w:t xml:space="preserve">)</w:t>
      </w:r>
    </w:p>
    <w:p>
      <w:pPr>
        <w:pStyle w:val="Heading2"/>
      </w:pPr>
      <w:bookmarkStart w:id="56" w:name="知识产权"/>
      <w:bookmarkEnd w:id="56"/>
      <w:r>
        <w:t xml:space="preserve">知识产权</w:t>
      </w:r>
    </w:p>
    <w:p>
      <w:pPr>
        <w:pStyle w:val="Heading3"/>
      </w:pPr>
      <w:bookmarkStart w:id="57" w:name="国务院知识产权战略实施工作部际联席会议办公室关于印发2017年深入实施国家知识产权战略加快建设知识产权强国推进计划的通知"/>
      <w:bookmarkEnd w:id="57"/>
      <w:r>
        <w:t xml:space="preserve">国务院知识产权战略实施工作部际联席会议办公室关于印发《2017年深入实施国家知识产权战略加快建设知识产权强国推进计划》的通知</w:t>
      </w:r>
    </w:p>
    <w:p>
      <w:r>
        <w:t xml:space="preserve">近日，经国务院知识产权战略实施工作部际联席会议审议通过，国务院知识产权战略实施工作部际联席会议办公室印发了《2017年深入实施国家知识产权战略加快建设知识产权强国推进计划》（以下简称《推进计划》），确定了五大重点工作，103项具体措施。</w:t>
      </w:r>
    </w:p>
    <w:p>
      <w:r>
        <w:t xml:space="preserve">在备受社会各界关注的知识产权领域改革方面，《推进计划》提出，推进知识产权管理体制机制改革，改革完善知识产权重大政策，深化知识产权服务业“放管服”改革，包括落实《知识产权综合管理改革试点总体方案》，推进国家知识产权服务业集聚发展试验区和示范区建设，在党政领导干部考核规定中体现知识产权相关内容和要求，建立以知识产权为重要内容的创新驱动发展评价体系，研究制定知识产权评议政策，实施进一步放宽专利代理准入的改革措施等。此外，《推进计划》还就加强重点产业海外布局和风险防控、提升知识产权对外合作水平、加强政策制定和推进落实、加强人才培养和宣传引导等方面明确了具体措施。</w:t>
      </w:r>
    </w:p>
    <w:p>
      <w:hyperlink r:id="rId58">
        <w:r>
          <w:rPr>
            <w:rStyle w:val="Link"/>
          </w:rPr>
          <w:t xml:space="preserve">来源</w:t>
        </w:r>
      </w:hyperlink>
      <w:r>
        <w:t xml:space="preserve"> </w:t>
      </w:r>
      <w:r>
        <w:t xml:space="preserve">(</w:t>
      </w:r>
      <w:hyperlink r:id="rId59">
        <w:r>
          <w:rPr>
            <w:rStyle w:val="Link"/>
          </w:rPr>
          <w:t xml:space="preserve">副本</w:t>
        </w:r>
      </w:hyperlink>
      <w:r>
        <w:t xml:space="preserve">) (</w:t>
      </w:r>
      <w:hyperlink r:id="rId60">
        <w:r>
          <w:rPr>
            <w:rStyle w:val="Link"/>
          </w:rPr>
          <w:t xml:space="preserve">副本</w:t>
        </w:r>
      </w:hyperlink>
      <w:r>
        <w:t xml:space="preserve">)</w:t>
      </w:r>
    </w:p>
    <w:p>
      <w:pPr>
        <w:pStyle w:val="Heading2"/>
      </w:pPr>
      <w:bookmarkStart w:id="61" w:name="行业"/>
      <w:bookmarkEnd w:id="61"/>
      <w:r>
        <w:t xml:space="preserve">行业</w:t>
      </w:r>
    </w:p>
    <w:p>
      <w:pPr>
        <w:pStyle w:val="Heading3"/>
      </w:pPr>
      <w:bookmarkStart w:id="62" w:name="反不正当竞争法24年来首次修订增互联网不正当竞争条款"/>
      <w:bookmarkEnd w:id="62"/>
      <w:r>
        <w:t xml:space="preserve">《反不正当竞争法》24年来首次修订，增互联网不正当竞争条款</w:t>
      </w:r>
    </w:p>
    <w:p>
      <w:r>
        <w:t xml:space="preserve">《经济参考报》记者日前获悉，全国人大财经委和法工委组织座谈会，对《反不正当竞争法（修订草案）》征求意见。据了解，新法首次增加互联网不正当竞争条款，互联网领域出现的一些全新的不正当竞争行为，如经营者利用网络技术影响用户选择、干扰其他经营者的正常经营等行为，将被纳入法律监管范围。</w:t>
      </w:r>
    </w:p>
    <w:p>
      <w:r>
        <w:t xml:space="preserve">据了解，修订草案规定，竞争者不得利用技术手段在互联网领域从事影响用户选择、干扰其他经营者正常经营活动的行为，并具体规定了应予以禁止的行为，将增强行政执法查处互联网不正当竞争行为的作用。此外，除了首次增加互联网不正当竞争条款外，修订草案还将对商业贿赂的范围适当扩大，细化各类恶意仿冒行为，并进一步完善了行政执法权，增加了检查、查封、扣押、查询等强制措施，还突出了对不正当竞争行为的民事赔偿责任。</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2"/>
      </w:pPr>
      <w:bookmarkStart w:id="65" w:name="并购"/>
      <w:bookmarkEnd w:id="65"/>
      <w:r>
        <w:t xml:space="preserve">并购</w:t>
      </w:r>
    </w:p>
    <w:p>
      <w:pPr>
        <w:pStyle w:val="Heading3"/>
      </w:pPr>
      <w:bookmarkStart w:id="66" w:name="东方精工收购fosber剩余40股权深化产业协同"/>
      <w:bookmarkEnd w:id="66"/>
      <w:r>
        <w:t xml:space="preserve">东方精工收购Fosber剩余40%股权，深化产业协同</w:t>
      </w:r>
    </w:p>
    <w:p>
      <w:r>
        <w:t xml:space="preserve">东方精工于2017年6月27日晚间披露公告，公司拟以3313.52万欧元进一步收购控股子公司意大利Fosber集团剩余40%的股份，在本次收购完成交割之后，Fosber集团将成为公司的全资子公司。</w:t>
      </w:r>
    </w:p>
    <w:p>
      <w:r>
        <w:t xml:space="preserve">Fosber集团主要从事瓦楞纸板成套生产线及相关设备的设计、研发、制造以及安装，是东方精工自身的产业链上游。Fosber集团在2015年、2016年分别实现了605万欧元、1184万欧元的净利润，均完成了当初收购时的业绩承诺，其中2016年业绩完成率达160%，大幅超额完成承诺。本次收购Fosber集团剩余40%股份之后，Fosber集团将成为公司的全资子公司，公司将进一步深化智能包装设备战略板块的资源整合，依托Fosber集团的全球产业链布局及客户资源，实现智能瓦楞纸板生产线、智能瓦楞纸箱印刷机及智能物流设备系统的深度协同。</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阿里巴巴将斥资10亿美元增持东南亚电商平台lazada"/>
      <w:bookmarkEnd w:id="69"/>
      <w:r>
        <w:t xml:space="preserve">阿里巴巴将斥资10亿美元增持东南亚电商平台Lazada</w:t>
      </w:r>
    </w:p>
    <w:p>
      <w:r>
        <w:t xml:space="preserve">2017年6月28日，阿里巴巴集团宣布，将斥资约10亿美元增持东南亚领先电商平台Lazada，持股比例将由51%提升至83%。阿里巴巴表示，此次交易表明阿里巴巴既看好Lazada持续耕耘东南亚市场能力，也看好新兴市场持续高增长的潜力，阿里巴巴全球化战略正在强力推进。</w:t>
      </w:r>
    </w:p>
    <w:p>
      <w:r>
        <w:t xml:space="preserve">具体而言，阿里巴巴将向特定Lazada股东收购其股份，此次交易对Lazada隐含估值为31.5亿美元，相较于2016年4月阿里首次收购其股份的估值有了大幅增长。此次交易之后，阿里巴巴对Lazada投资总额将超过20亿美元，同时Lazada仍将继续沿用自有品牌服务东南亚地区消费者。阿里巴巴表示，作为阿里全球化战略重要业务板块，对Lazada持续加强投资，并持续推动其与天猫等电商板块有效协作，正是看好Lazada对印尼、马来西亚、菲律宾、新加坡、泰国、越南等东南亚市场5.6亿消费者有效触达。阿里巴巴集团CEO张勇表示，作为当地最大的电商平台，Lazada在产品、服务、消费体验上均表现出引领整个东南亚地区的能力。</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小康股份拟海外收购汽车资产"/>
      <w:bookmarkEnd w:id="72"/>
      <w:r>
        <w:t xml:space="preserve">小康股份拟海外收购汽车资产</w:t>
      </w:r>
    </w:p>
    <w:p>
      <w:r>
        <w:t xml:space="preserve">小康股份近日公告称，公司和全资子公司SF MOTORS, INC.（以下简称“SF Motors”）与AM General LLC（以下简称“AMG公司”）签署《资产收购协议》，由SF Motors以价格1.1亿美元收购AMG公司民用汽车工厂及相关资产。公司将承接相关经营管理团队与产业工人等。</w:t>
      </w:r>
    </w:p>
    <w:p>
      <w:r>
        <w:t xml:space="preserve">根据公告，民用汽车工厂（CAP）最初是为了生产民用悍马H2车型而投资建设，于2002年建成并开始生产；2002年-2010年间主要生产民用悍马H2车型；2007年-2015年主要生产MV-1s等车型；2015年至今主要生产奔驰R系列车型。公司表示，本次交易完成后，有助于在美国生产高品质的中高端新能源电动汽车，强化公司在传统燃油汽车领域的制造能力，提升现有产品质量和品质，提升盈利能力。</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荣之联拟8.4亿元收购赞融电子"/>
      <w:bookmarkEnd w:id="75"/>
      <w:r>
        <w:t xml:space="preserve">荣之联拟8.4亿元收购赞融电子</w:t>
      </w:r>
    </w:p>
    <w:p>
      <w:r>
        <w:t xml:space="preserve">荣之联近日发布公告称，拟以发行股份和支付现金相结合的方式购买赞融电子100%的股权，交易金额为8.4亿元。其中，以现金方式支付交易对价的35%。同时募集配套资金不超过5.14亿元。</w:t>
      </w:r>
    </w:p>
    <w:p>
      <w:r>
        <w:t xml:space="preserve">公告显示，赞融电子是国内领先的金融行业存储系统集成解决方案提供商。经过多年积累，赞融电子具备成熟的技术服务体系和高效的运营能力，将先进的存储产品和丰富的技术经验相结合，为用户提供全方位的系统解决方案。赞融电子业务可分为系统集成和专业维保服务两大类。公司表示，本次交易完成后，赞融电子成为上市公司全资子公司，上市公司可以借此快速将业务拓展至金融领域，获得市场份额以及客户资源，并发挥上市公司与标的公司的协同效应，为金融领域客户提供更为丰富的产品与服务。</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8">
        <w:r>
          <w:rPr>
            <w:rStyle w:val="Link"/>
          </w:rPr>
          <w:t xml:space="preserve">unsubscribe@charltonslaw.com</w:t>
        </w:r>
      </w:hyperlink>
    </w:p>
    <w:p>
      <w:r>
        <w:rPr>
          <w:b/>
        </w:rPr>
        <w:t xml:space="preserve">易周律师行 - 法讯 - 中国 - 第550期 - 2017年06月30日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baa10f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50/" TargetMode="Externa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0" Target="10a.pdf" TargetMode="External" /><Relationship Type="http://schemas.openxmlformats.org/officeDocument/2006/relationships/hyperlink" Id="rId64" Target="11.pdf" TargetMode="External" /><Relationship Type="http://schemas.openxmlformats.org/officeDocument/2006/relationships/hyperlink" Id="rId68"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77" Target="15.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7" Target="4a.pdf" TargetMode="External" /><Relationship Type="http://schemas.openxmlformats.org/officeDocument/2006/relationships/hyperlink" Id="rId38" Target="4b.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55" Target="9a.pdf" TargetMode="External" /><Relationship Type="http://schemas.openxmlformats.org/officeDocument/2006/relationships/hyperlink" Id="rId73" Target="http://company.stcn.com/2017/0623/13438086.shtml" TargetMode="External" /><Relationship Type="http://schemas.openxmlformats.org/officeDocument/2006/relationships/hyperlink" Id="rId76" Target="http://company.stcn.com/2017/0623/13438087.shtml" TargetMode="External" /><Relationship Type="http://schemas.openxmlformats.org/officeDocument/2006/relationships/hyperlink" Id="rId67" Target="http://company.stcn.com/2017/0627/13447428.shtml" TargetMode="External" /><Relationship Type="http://schemas.openxmlformats.org/officeDocument/2006/relationships/hyperlink" Id="rId28" Target="http://kuaixun.stcn.com/2017/0628/13448651.shtml" TargetMode="External" /><Relationship Type="http://schemas.openxmlformats.org/officeDocument/2006/relationships/hyperlink" Id="rId40" Target="http://kuaixun.stcn.com/2017/0628/13448833.shtml" TargetMode="External" /><Relationship Type="http://schemas.openxmlformats.org/officeDocument/2006/relationships/hyperlink" Id="rId70" Target="http://kuaixun.stcn.com/2017/0628/13449423.shtml" TargetMode="External" /><Relationship Type="http://schemas.openxmlformats.org/officeDocument/2006/relationships/hyperlink" Id="rId63" Target="http://news.jcrb.com/jxsw/201706/t20170622_1768263.html" TargetMode="External" /><Relationship Type="http://schemas.openxmlformats.org/officeDocument/2006/relationships/hyperlink" Id="rId35" Target="http://www.cbrc.gov.cn/chinese/home/docDOC_ReadView/79AFCE8442E7407AB5758E902519C98B.html" TargetMode="External" /><Relationship Type="http://schemas.openxmlformats.org/officeDocument/2006/relationships/hyperlink" Id="rId32" Target="http://www.chinaforex.com.cn/index.php/cms/item-view-id-44116.shtml" TargetMode="External" /><Relationship Type="http://schemas.openxmlformats.org/officeDocument/2006/relationships/hyperlink" Id="rId53" Target="http://www.chinatax.gov.cn/n810341/n810755/c2684881/content.html" TargetMode="External" /><Relationship Type="http://schemas.openxmlformats.org/officeDocument/2006/relationships/hyperlink" Id="rId50" Target="http://www.gov.cn/xinwen/2017-06/28/content_5206319.htm" TargetMode="External" /><Relationship Type="http://schemas.openxmlformats.org/officeDocument/2006/relationships/hyperlink" Id="rId25" Target="http://www.gov.cn/xinwen/2017-06/28/content_5206321.htm" TargetMode="External" /><Relationship Type="http://schemas.openxmlformats.org/officeDocument/2006/relationships/hyperlink" Id="rId47" Target="http://www.legaldaily.com.cn/index_article/content/2017-06/27/content_7223096.htm?node=5955" TargetMode="External" /><Relationship Type="http://schemas.openxmlformats.org/officeDocument/2006/relationships/hyperlink" Id="rId58" Target="http://www.sipo.gov.cn/zscqgz/2017/201706/t20170628_1312273.html" TargetMode="External" /><Relationship Type="http://schemas.openxmlformats.org/officeDocument/2006/relationships/hyperlink" Id="rId43" Target="http://www.sse.com.cn/aboutus/mediacenter/hotandd/c/c_20170623_4330666.shtml" TargetMode="External" /><Relationship Type="http://schemas.openxmlformats.org/officeDocument/2006/relationships/hyperlink" Id="rId7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50/" TargetMode="Externa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0" Target="10a.pdf" TargetMode="External" /><Relationship Type="http://schemas.openxmlformats.org/officeDocument/2006/relationships/hyperlink" Id="rId64" Target="11.pdf" TargetMode="External" /><Relationship Type="http://schemas.openxmlformats.org/officeDocument/2006/relationships/hyperlink" Id="rId68"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77" Target="15.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7" Target="4a.pdf" TargetMode="External" /><Relationship Type="http://schemas.openxmlformats.org/officeDocument/2006/relationships/hyperlink" Id="rId38" Target="4b.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55" Target="9a.pdf" TargetMode="External" /><Relationship Type="http://schemas.openxmlformats.org/officeDocument/2006/relationships/hyperlink" Id="rId73" Target="http://company.stcn.com/2017/0623/13438086.shtml" TargetMode="External" /><Relationship Type="http://schemas.openxmlformats.org/officeDocument/2006/relationships/hyperlink" Id="rId76" Target="http://company.stcn.com/2017/0623/13438087.shtml" TargetMode="External" /><Relationship Type="http://schemas.openxmlformats.org/officeDocument/2006/relationships/hyperlink" Id="rId67" Target="http://company.stcn.com/2017/0627/13447428.shtml" TargetMode="External" /><Relationship Type="http://schemas.openxmlformats.org/officeDocument/2006/relationships/hyperlink" Id="rId28" Target="http://kuaixun.stcn.com/2017/0628/13448651.shtml" TargetMode="External" /><Relationship Type="http://schemas.openxmlformats.org/officeDocument/2006/relationships/hyperlink" Id="rId40" Target="http://kuaixun.stcn.com/2017/0628/13448833.shtml" TargetMode="External" /><Relationship Type="http://schemas.openxmlformats.org/officeDocument/2006/relationships/hyperlink" Id="rId70" Target="http://kuaixun.stcn.com/2017/0628/13449423.shtml" TargetMode="External" /><Relationship Type="http://schemas.openxmlformats.org/officeDocument/2006/relationships/hyperlink" Id="rId63" Target="http://news.jcrb.com/jxsw/201706/t20170622_1768263.html" TargetMode="External" /><Relationship Type="http://schemas.openxmlformats.org/officeDocument/2006/relationships/hyperlink" Id="rId35" Target="http://www.cbrc.gov.cn/chinese/home/docDOC_ReadView/79AFCE8442E7407AB5758E902519C98B.html" TargetMode="External" /><Relationship Type="http://schemas.openxmlformats.org/officeDocument/2006/relationships/hyperlink" Id="rId32" Target="http://www.chinaforex.com.cn/index.php/cms/item-view-id-44116.shtml" TargetMode="External" /><Relationship Type="http://schemas.openxmlformats.org/officeDocument/2006/relationships/hyperlink" Id="rId53" Target="http://www.chinatax.gov.cn/n810341/n810755/c2684881/content.html" TargetMode="External" /><Relationship Type="http://schemas.openxmlformats.org/officeDocument/2006/relationships/hyperlink" Id="rId50" Target="http://www.gov.cn/xinwen/2017-06/28/content_5206319.htm" TargetMode="External" /><Relationship Type="http://schemas.openxmlformats.org/officeDocument/2006/relationships/hyperlink" Id="rId25" Target="http://www.gov.cn/xinwen/2017-06/28/content_5206321.htm" TargetMode="External" /><Relationship Type="http://schemas.openxmlformats.org/officeDocument/2006/relationships/hyperlink" Id="rId47" Target="http://www.legaldaily.com.cn/index_article/content/2017-06/27/content_7223096.htm?node=5955" TargetMode="External" /><Relationship Type="http://schemas.openxmlformats.org/officeDocument/2006/relationships/hyperlink" Id="rId58" Target="http://www.sipo.gov.cn/zscqgz/2017/201706/t20170628_1312273.html" TargetMode="External" /><Relationship Type="http://schemas.openxmlformats.org/officeDocument/2006/relationships/hyperlink" Id="rId43" Target="http://www.sse.com.cn/aboutus/mediacenter/hotandd/c/c_20170623_4330666.shtml" TargetMode="External" /><Relationship Type="http://schemas.openxmlformats.org/officeDocument/2006/relationships/hyperlink" Id="rId7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第550期 - 2017年06月30日</dc:title>
  <dc:creator/>
</cp:coreProperties>
</file>